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05" w:rsidRPr="00B112A3" w:rsidRDefault="00683505" w:rsidP="00683505">
      <w:pPr>
        <w:spacing w:line="360" w:lineRule="auto"/>
        <w:rPr>
          <w:rFonts w:ascii="Verdana" w:hAnsi="Verdana" w:cs="Arial"/>
          <w:b/>
          <w:sz w:val="20"/>
          <w:lang w:val="nl-NL"/>
        </w:rPr>
      </w:pPr>
      <w:r w:rsidRPr="00B112A3">
        <w:rPr>
          <w:rFonts w:ascii="Verdana" w:hAnsi="Verdana" w:cs="Arial"/>
          <w:b/>
          <w:sz w:val="20"/>
          <w:lang w:val="nl-NL"/>
        </w:rPr>
        <w:t>Wijziging van de begrotingsstaat van het Ministerie van Onderwijs, Cultuur en Wetenschap (VIII) voor het jaar 201</w:t>
      </w:r>
      <w:r>
        <w:rPr>
          <w:rFonts w:ascii="Verdana" w:hAnsi="Verdana" w:cs="Arial"/>
          <w:b/>
          <w:sz w:val="20"/>
          <w:lang w:val="nl-NL"/>
        </w:rPr>
        <w:t>5</w:t>
      </w:r>
      <w:r w:rsidRPr="00B112A3">
        <w:rPr>
          <w:rFonts w:ascii="Verdana" w:hAnsi="Verdana" w:cs="Arial"/>
          <w:b/>
          <w:sz w:val="20"/>
          <w:lang w:val="nl-NL"/>
        </w:rPr>
        <w:t xml:space="preserve"> (</w:t>
      </w:r>
      <w:r>
        <w:rPr>
          <w:rFonts w:ascii="Verdana" w:hAnsi="Verdana" w:cs="Arial"/>
          <w:b/>
          <w:sz w:val="20"/>
          <w:lang w:val="nl-NL"/>
        </w:rPr>
        <w:t>Incidentele suppletoire begroting inzake verwerving kunstwerk</w:t>
      </w:r>
      <w:r w:rsidRPr="00B112A3">
        <w:rPr>
          <w:rFonts w:ascii="Verdana" w:hAnsi="Verdana" w:cs="Arial"/>
          <w:b/>
          <w:sz w:val="20"/>
          <w:lang w:val="nl-NL"/>
        </w:rPr>
        <w:t>)</w:t>
      </w:r>
    </w:p>
    <w:p w:rsidR="00683505" w:rsidRPr="00B112A3" w:rsidRDefault="00683505" w:rsidP="00683505">
      <w:pPr>
        <w:spacing w:line="360" w:lineRule="auto"/>
        <w:rPr>
          <w:rFonts w:ascii="Verdana" w:hAnsi="Verdana" w:cs="Arial"/>
          <w:sz w:val="20"/>
          <w:lang w:val="nl-NL"/>
        </w:rPr>
      </w:pPr>
    </w:p>
    <w:p w:rsidR="00683505" w:rsidRPr="00B112A3" w:rsidRDefault="00683505" w:rsidP="00683505">
      <w:pPr>
        <w:spacing w:line="360" w:lineRule="auto"/>
        <w:rPr>
          <w:rFonts w:ascii="Verdana" w:hAnsi="Verdana" w:cs="Arial"/>
          <w:b/>
          <w:sz w:val="20"/>
          <w:lang w:val="nl-NL"/>
        </w:rPr>
      </w:pPr>
      <w:r w:rsidRPr="00B112A3">
        <w:rPr>
          <w:rFonts w:ascii="Verdana" w:hAnsi="Verdana" w:cs="Arial"/>
          <w:b/>
          <w:sz w:val="20"/>
          <w:lang w:val="nl-NL"/>
        </w:rPr>
        <w:t>MEMORIE VAN TOELICHTING</w:t>
      </w:r>
    </w:p>
    <w:p w:rsidR="00683505" w:rsidRPr="00B112A3" w:rsidRDefault="00683505" w:rsidP="00683505">
      <w:pPr>
        <w:spacing w:line="360" w:lineRule="auto"/>
        <w:rPr>
          <w:rFonts w:ascii="Verdana" w:hAnsi="Verdana" w:cs="Arial"/>
          <w:sz w:val="20"/>
          <w:lang w:val="nl-NL"/>
        </w:rPr>
      </w:pPr>
    </w:p>
    <w:p w:rsidR="00683505" w:rsidRPr="00B112A3" w:rsidRDefault="00683505" w:rsidP="00683505">
      <w:pPr>
        <w:spacing w:line="360" w:lineRule="auto"/>
        <w:rPr>
          <w:rFonts w:ascii="Verdana" w:hAnsi="Verdana" w:cs="Arial"/>
          <w:b/>
          <w:sz w:val="20"/>
          <w:lang w:val="nl-NL"/>
        </w:rPr>
      </w:pPr>
      <w:r w:rsidRPr="00B112A3">
        <w:rPr>
          <w:rFonts w:ascii="Verdana" w:hAnsi="Verdana" w:cs="Arial"/>
          <w:b/>
          <w:sz w:val="20"/>
          <w:lang w:val="nl-NL"/>
        </w:rPr>
        <w:t>A. ARTIKELSGEWIJZE TOELICHTING BIJ HET WETSVOORSTEL</w:t>
      </w:r>
    </w:p>
    <w:p w:rsidR="00683505" w:rsidRPr="00B112A3" w:rsidRDefault="00683505" w:rsidP="00683505">
      <w:pPr>
        <w:spacing w:line="360" w:lineRule="auto"/>
        <w:rPr>
          <w:rFonts w:ascii="Verdana" w:hAnsi="Verdana" w:cs="Arial"/>
          <w:sz w:val="20"/>
          <w:lang w:val="nl-NL"/>
        </w:rPr>
      </w:pPr>
    </w:p>
    <w:p w:rsidR="00683505" w:rsidRPr="00B112A3" w:rsidRDefault="00683505" w:rsidP="00683505">
      <w:pPr>
        <w:spacing w:line="360" w:lineRule="auto"/>
        <w:rPr>
          <w:rFonts w:ascii="Verdana" w:hAnsi="Verdana" w:cs="Arial"/>
          <w:b/>
          <w:sz w:val="20"/>
          <w:lang w:val="nl-NL"/>
        </w:rPr>
      </w:pPr>
      <w:r w:rsidRPr="00B112A3">
        <w:rPr>
          <w:rFonts w:ascii="Verdana" w:hAnsi="Verdana" w:cs="Arial"/>
          <w:b/>
          <w:sz w:val="20"/>
          <w:lang w:val="nl-NL"/>
        </w:rPr>
        <w:t>Wetsartikel 1</w:t>
      </w:r>
    </w:p>
    <w:p w:rsidR="00683505" w:rsidRPr="00B112A3" w:rsidRDefault="00683505" w:rsidP="00683505">
      <w:pPr>
        <w:spacing w:line="360" w:lineRule="auto"/>
        <w:rPr>
          <w:rFonts w:ascii="Verdana" w:hAnsi="Verdana" w:cs="Arial"/>
          <w:sz w:val="20"/>
          <w:lang w:val="nl-NL"/>
        </w:rPr>
      </w:pPr>
    </w:p>
    <w:p w:rsidR="00683505" w:rsidRPr="00B112A3" w:rsidRDefault="00683505" w:rsidP="00683505">
      <w:pPr>
        <w:widowControl w:val="0"/>
        <w:autoSpaceDE w:val="0"/>
        <w:autoSpaceDN w:val="0"/>
        <w:adjustRightInd w:val="0"/>
        <w:spacing w:line="360" w:lineRule="auto"/>
        <w:rPr>
          <w:rFonts w:ascii="Verdana" w:hAnsi="Verdana" w:cs="Arial"/>
          <w:sz w:val="20"/>
          <w:lang w:val="nl-NL"/>
        </w:rPr>
      </w:pPr>
      <w:r w:rsidRPr="00B112A3">
        <w:rPr>
          <w:rFonts w:ascii="Verdana" w:hAnsi="Verdana" w:cs="Arial"/>
          <w:sz w:val="20"/>
          <w:lang w:val="nl-NL"/>
        </w:rPr>
        <w:t xml:space="preserve">De begrotingsstaten die onderdeel </w:t>
      </w:r>
      <w:r>
        <w:rPr>
          <w:rFonts w:ascii="Verdana" w:hAnsi="Verdana" w:cs="Arial"/>
          <w:sz w:val="20"/>
          <w:lang w:val="nl-NL"/>
        </w:rPr>
        <w:t>zijn</w:t>
      </w:r>
      <w:r w:rsidRPr="00B112A3">
        <w:rPr>
          <w:rFonts w:ascii="Verdana" w:hAnsi="Verdana" w:cs="Arial"/>
          <w:sz w:val="20"/>
          <w:lang w:val="nl-NL"/>
        </w:rPr>
        <w:t xml:space="preserve"> van de Rijksbegroting, worden op grond van artikel 1, derde lid, van de Comptabiliteitswet 2001 elk afzonderlijk bij de wet vastgesteld en derhalve ook gewijzigd. </w:t>
      </w:r>
      <w:r w:rsidRPr="00B112A3">
        <w:rPr>
          <w:rFonts w:ascii="Verdana" w:hAnsi="Verdana" w:cs="Arial"/>
          <w:sz w:val="20"/>
          <w:szCs w:val="20"/>
          <w:lang w:val="nl-NL"/>
        </w:rPr>
        <w:t>Het onderhavige wetsvoorstel st</w:t>
      </w:r>
      <w:r>
        <w:rPr>
          <w:rFonts w:ascii="Verdana" w:hAnsi="Verdana" w:cs="Arial"/>
          <w:sz w:val="20"/>
          <w:szCs w:val="20"/>
          <w:lang w:val="nl-NL"/>
        </w:rPr>
        <w:t>rekt ertoe om voor het jaar 2015</w:t>
      </w:r>
      <w:r w:rsidRPr="00B112A3">
        <w:rPr>
          <w:rFonts w:ascii="Verdana" w:hAnsi="Verdana" w:cs="Arial"/>
          <w:sz w:val="20"/>
          <w:szCs w:val="20"/>
          <w:lang w:val="nl-NL"/>
        </w:rPr>
        <w:t xml:space="preserve"> wijzigingen aan te brengen in de departementale begrotingsstaat van het Ministerie van O</w:t>
      </w:r>
      <w:r>
        <w:rPr>
          <w:rFonts w:ascii="Verdana" w:hAnsi="Verdana" w:cs="Arial"/>
          <w:sz w:val="20"/>
          <w:szCs w:val="20"/>
          <w:lang w:val="nl-NL"/>
        </w:rPr>
        <w:t>nderwijs, Cultuur en Wetenschap.</w:t>
      </w:r>
    </w:p>
    <w:p w:rsidR="00683505" w:rsidRPr="00B112A3" w:rsidRDefault="00683505" w:rsidP="00683505">
      <w:pPr>
        <w:spacing w:line="360" w:lineRule="auto"/>
        <w:rPr>
          <w:rFonts w:ascii="Verdana" w:hAnsi="Verdana" w:cs="Arial"/>
          <w:sz w:val="20"/>
          <w:lang w:val="nl-NL"/>
        </w:rPr>
      </w:pPr>
    </w:p>
    <w:p w:rsidR="00683505" w:rsidRPr="00B112A3" w:rsidRDefault="00683505" w:rsidP="00683505">
      <w:pPr>
        <w:spacing w:line="360" w:lineRule="auto"/>
        <w:rPr>
          <w:rFonts w:ascii="Verdana" w:hAnsi="Verdana" w:cs="Arial"/>
          <w:sz w:val="20"/>
          <w:lang w:val="nl-NL"/>
        </w:rPr>
      </w:pPr>
      <w:r w:rsidRPr="00B112A3">
        <w:rPr>
          <w:rFonts w:ascii="Verdana" w:hAnsi="Verdana" w:cs="Arial"/>
          <w:sz w:val="20"/>
          <w:lang w:val="nl-NL"/>
        </w:rPr>
        <w:t>De in de begrotingsstaat opgenomen begrotingsartikelen worden in onderdeel B van deze memorie van toelichting toegelicht.</w:t>
      </w:r>
    </w:p>
    <w:p w:rsidR="00683505" w:rsidRPr="00B112A3" w:rsidRDefault="00683505" w:rsidP="00683505">
      <w:pPr>
        <w:spacing w:line="360" w:lineRule="auto"/>
        <w:rPr>
          <w:rFonts w:ascii="Verdana" w:hAnsi="Verdana" w:cs="Arial"/>
          <w:sz w:val="20"/>
          <w:lang w:val="nl-NL"/>
        </w:rPr>
      </w:pPr>
    </w:p>
    <w:p w:rsidR="00683505" w:rsidRPr="00B112A3" w:rsidRDefault="00683505" w:rsidP="00683505">
      <w:pPr>
        <w:spacing w:line="360" w:lineRule="auto"/>
        <w:rPr>
          <w:rFonts w:ascii="Verdana" w:hAnsi="Verdana" w:cs="Arial"/>
          <w:sz w:val="20"/>
          <w:lang w:val="nl-NL"/>
        </w:rPr>
      </w:pPr>
    </w:p>
    <w:p w:rsidR="00683505" w:rsidRDefault="00683505" w:rsidP="00683505">
      <w:pPr>
        <w:spacing w:line="360" w:lineRule="auto"/>
        <w:rPr>
          <w:rFonts w:ascii="Verdana" w:hAnsi="Verdana" w:cs="Arial"/>
          <w:sz w:val="20"/>
          <w:lang w:val="nl-NL"/>
        </w:rPr>
      </w:pPr>
      <w:r w:rsidRPr="00B112A3">
        <w:rPr>
          <w:rFonts w:ascii="Verdana" w:hAnsi="Verdana" w:cs="Arial"/>
          <w:sz w:val="20"/>
          <w:lang w:val="nl-NL"/>
        </w:rPr>
        <w:t>De Minister van Onderwijs, Cultuur en Wetenschap,</w:t>
      </w:r>
    </w:p>
    <w:p w:rsidR="00683505" w:rsidRPr="002B63E5" w:rsidRDefault="00683505" w:rsidP="00683505">
      <w:pPr>
        <w:spacing w:line="360" w:lineRule="auto"/>
        <w:rPr>
          <w:rFonts w:ascii="Verdana" w:hAnsi="Verdana" w:cs="Arial"/>
          <w:sz w:val="20"/>
          <w:lang w:val="nl-NL"/>
        </w:rPr>
      </w:pPr>
      <w:r w:rsidRPr="00B112A3">
        <w:rPr>
          <w:rFonts w:ascii="Verdana" w:hAnsi="Verdana" w:cs="Arial"/>
          <w:b/>
          <w:sz w:val="20"/>
          <w:lang w:val="nl-NL"/>
        </w:rPr>
        <w:br w:type="page"/>
      </w:r>
      <w:r w:rsidRPr="00806E79">
        <w:rPr>
          <w:rFonts w:ascii="Verdana" w:hAnsi="Verdana" w:cs="Arial"/>
          <w:b/>
          <w:sz w:val="20"/>
          <w:lang w:val="nl-NL"/>
        </w:rPr>
        <w:lastRenderedPageBreak/>
        <w:t>B. BEGROTINGSTOELICHTING</w:t>
      </w:r>
    </w:p>
    <w:p w:rsidR="00683505" w:rsidRPr="00B112A3" w:rsidRDefault="00683505" w:rsidP="00683505">
      <w:pPr>
        <w:spacing w:line="360" w:lineRule="auto"/>
        <w:rPr>
          <w:rFonts w:ascii="Verdana" w:hAnsi="Verdana" w:cs="Arial"/>
          <w:b/>
          <w:sz w:val="20"/>
          <w:szCs w:val="20"/>
          <w:lang w:val="nl-NL"/>
        </w:rPr>
      </w:pPr>
    </w:p>
    <w:p w:rsidR="00683505" w:rsidRPr="00732008" w:rsidRDefault="00683505" w:rsidP="00683505">
      <w:pPr>
        <w:spacing w:line="360" w:lineRule="auto"/>
        <w:rPr>
          <w:rFonts w:ascii="Verdana" w:hAnsi="Verdana" w:cs="Arial"/>
          <w:b/>
          <w:color w:val="000000"/>
          <w:sz w:val="20"/>
          <w:szCs w:val="20"/>
          <w:lang w:val="nl-NL"/>
        </w:rPr>
      </w:pPr>
      <w:r w:rsidRPr="00732008">
        <w:rPr>
          <w:rFonts w:ascii="Verdana" w:hAnsi="Verdana" w:cs="Arial"/>
          <w:b/>
          <w:color w:val="000000"/>
          <w:sz w:val="20"/>
          <w:szCs w:val="20"/>
          <w:lang w:val="nl-NL"/>
        </w:rPr>
        <w:t>1. Leeswijzer</w:t>
      </w:r>
    </w:p>
    <w:p w:rsidR="00683505" w:rsidRDefault="00683505" w:rsidP="00683505">
      <w:pPr>
        <w:spacing w:line="360" w:lineRule="auto"/>
        <w:rPr>
          <w:rFonts w:ascii="Verdana" w:hAnsi="Verdana" w:cs="Arial"/>
          <w:color w:val="000000"/>
          <w:sz w:val="20"/>
          <w:szCs w:val="20"/>
          <w:lang w:val="nl-NL"/>
        </w:rPr>
      </w:pPr>
    </w:p>
    <w:p w:rsidR="00683505" w:rsidRPr="00EB380F" w:rsidRDefault="00683505" w:rsidP="00683505">
      <w:pPr>
        <w:spacing w:line="360" w:lineRule="auto"/>
        <w:rPr>
          <w:rFonts w:ascii="Verdana" w:hAnsi="Verdana" w:cs="Arial"/>
          <w:color w:val="000000"/>
          <w:sz w:val="20"/>
          <w:szCs w:val="20"/>
          <w:lang w:val="nl-NL"/>
        </w:rPr>
      </w:pPr>
      <w:r w:rsidRPr="00EB380F">
        <w:rPr>
          <w:rFonts w:ascii="Verdana" w:hAnsi="Verdana" w:cs="Arial"/>
          <w:color w:val="000000"/>
          <w:sz w:val="20"/>
          <w:szCs w:val="20"/>
          <w:lang w:val="nl-NL"/>
        </w:rPr>
        <w:t xml:space="preserve">Artikel 14 Cultuur wordt voor het jaar 2015 verhoogd met € 80 miljoen. Hiervan komt € 30 miljoen ten laste van het museaal aankoopfonds (middels een desaldering) en € 50 miljoen ten laste van begrotingshoofdstuk 9, artikel 3 Financiering publiek-private sector. Doel van de verhoging is </w:t>
      </w:r>
      <w:r>
        <w:rPr>
          <w:rFonts w:ascii="Verdana" w:hAnsi="Verdana" w:cs="Arial"/>
          <w:color w:val="000000"/>
          <w:sz w:val="20"/>
          <w:szCs w:val="20"/>
          <w:lang w:val="nl-NL"/>
        </w:rPr>
        <w:t>het mede mogelijk maken dat</w:t>
      </w:r>
      <w:r w:rsidRPr="00EB380F">
        <w:rPr>
          <w:rFonts w:ascii="Verdana" w:hAnsi="Verdana" w:cs="Arial"/>
          <w:color w:val="000000"/>
          <w:sz w:val="20"/>
          <w:szCs w:val="20"/>
          <w:lang w:val="nl-NL"/>
        </w:rPr>
        <w:t xml:space="preserve"> het portret van </w:t>
      </w:r>
      <w:proofErr w:type="spellStart"/>
      <w:r w:rsidRPr="00EB380F">
        <w:rPr>
          <w:rFonts w:ascii="Verdana" w:hAnsi="Verdana" w:cs="Arial"/>
          <w:color w:val="000000"/>
          <w:sz w:val="20"/>
          <w:szCs w:val="20"/>
          <w:lang w:val="nl-NL"/>
        </w:rPr>
        <w:t>Maerten</w:t>
      </w:r>
      <w:proofErr w:type="spellEnd"/>
      <w:r w:rsidRPr="00EB380F">
        <w:rPr>
          <w:rFonts w:ascii="Verdana" w:hAnsi="Verdana" w:cs="Arial"/>
          <w:color w:val="000000"/>
          <w:sz w:val="20"/>
          <w:szCs w:val="20"/>
          <w:lang w:val="nl-NL"/>
        </w:rPr>
        <w:t xml:space="preserve"> </w:t>
      </w:r>
      <w:proofErr w:type="spellStart"/>
      <w:r w:rsidRPr="00EB380F">
        <w:rPr>
          <w:rFonts w:ascii="Verdana" w:hAnsi="Verdana" w:cs="Arial"/>
          <w:color w:val="000000"/>
          <w:sz w:val="20"/>
          <w:szCs w:val="20"/>
          <w:lang w:val="nl-NL"/>
        </w:rPr>
        <w:t>Soolmans</w:t>
      </w:r>
      <w:proofErr w:type="spellEnd"/>
      <w:r w:rsidRPr="00EB380F">
        <w:rPr>
          <w:rFonts w:ascii="Verdana" w:hAnsi="Verdana" w:cs="Arial"/>
          <w:color w:val="000000"/>
          <w:sz w:val="20"/>
          <w:szCs w:val="20"/>
          <w:lang w:val="nl-NL"/>
        </w:rPr>
        <w:t xml:space="preserve"> en het portret van </w:t>
      </w:r>
      <w:proofErr w:type="spellStart"/>
      <w:r w:rsidRPr="00EB380F">
        <w:rPr>
          <w:rFonts w:ascii="Verdana" w:hAnsi="Verdana" w:cs="Arial"/>
          <w:color w:val="000000"/>
          <w:sz w:val="20"/>
          <w:szCs w:val="20"/>
          <w:lang w:val="nl-NL"/>
        </w:rPr>
        <w:t>Oopjen</w:t>
      </w:r>
      <w:proofErr w:type="spellEnd"/>
      <w:r w:rsidRPr="00EB380F">
        <w:rPr>
          <w:rFonts w:ascii="Verdana" w:hAnsi="Verdana" w:cs="Arial"/>
          <w:color w:val="000000"/>
          <w:sz w:val="20"/>
          <w:szCs w:val="20"/>
          <w:lang w:val="nl-NL"/>
        </w:rPr>
        <w:t xml:space="preserve"> </w:t>
      </w:r>
      <w:proofErr w:type="spellStart"/>
      <w:r w:rsidRPr="00EB380F">
        <w:rPr>
          <w:rFonts w:ascii="Verdana" w:hAnsi="Verdana" w:cs="Arial"/>
          <w:color w:val="000000"/>
          <w:sz w:val="20"/>
          <w:szCs w:val="20"/>
          <w:lang w:val="nl-NL"/>
        </w:rPr>
        <w:t>Coppit</w:t>
      </w:r>
      <w:proofErr w:type="spellEnd"/>
      <w:r w:rsidRPr="00EB380F">
        <w:rPr>
          <w:rFonts w:ascii="Verdana" w:hAnsi="Verdana" w:cs="Arial"/>
          <w:color w:val="000000"/>
          <w:sz w:val="20"/>
          <w:szCs w:val="20"/>
          <w:lang w:val="nl-NL"/>
        </w:rPr>
        <w:t>, geschilderd door Rembrandt van Rijn, in het Nederlandse publieke domein komen. Daartoe reserveert deze begrotingswet middelen waarmee de Minister van OCW namens de Staat der Nederlanden een van de twee portretten kan verwerven en in eigendom nemen.</w:t>
      </w:r>
    </w:p>
    <w:p w:rsidR="00683505" w:rsidRPr="00EB380F" w:rsidRDefault="00683505" w:rsidP="00683505">
      <w:pPr>
        <w:spacing w:line="360" w:lineRule="auto"/>
        <w:rPr>
          <w:rFonts w:ascii="Verdana" w:hAnsi="Verdana" w:cs="Arial"/>
          <w:color w:val="000000"/>
          <w:sz w:val="20"/>
          <w:szCs w:val="20"/>
          <w:lang w:val="nl-NL"/>
        </w:rPr>
      </w:pPr>
    </w:p>
    <w:p w:rsidR="00683505" w:rsidRPr="00EB380F" w:rsidRDefault="00683505" w:rsidP="00683505">
      <w:pPr>
        <w:spacing w:line="360" w:lineRule="auto"/>
        <w:rPr>
          <w:rFonts w:ascii="Verdana" w:hAnsi="Verdana" w:cs="Arial"/>
          <w:color w:val="000000"/>
          <w:sz w:val="20"/>
          <w:szCs w:val="20"/>
          <w:lang w:val="nl-NL"/>
        </w:rPr>
      </w:pPr>
      <w:r w:rsidRPr="00EB380F">
        <w:rPr>
          <w:rFonts w:ascii="Verdana" w:hAnsi="Verdana" w:cs="Arial"/>
          <w:color w:val="000000"/>
          <w:sz w:val="20"/>
          <w:szCs w:val="20"/>
          <w:lang w:val="nl-NL"/>
        </w:rPr>
        <w:t xml:space="preserve">De ontvangstenraming wordt voor 2015 met € 30 miljoen opwaarts bijgesteld ten laste van het museaal aankoopfonds.  </w:t>
      </w:r>
    </w:p>
    <w:p w:rsidR="00683505" w:rsidRDefault="00683505" w:rsidP="00683505">
      <w:pPr>
        <w:spacing w:line="360" w:lineRule="auto"/>
        <w:rPr>
          <w:rFonts w:ascii="Verdana" w:hAnsi="Verdana" w:cs="Arial"/>
          <w:color w:val="000000"/>
          <w:sz w:val="20"/>
          <w:szCs w:val="20"/>
          <w:lang w:val="nl-NL"/>
        </w:rPr>
      </w:pPr>
    </w:p>
    <w:p w:rsidR="00683505" w:rsidRPr="00732008" w:rsidRDefault="00683505" w:rsidP="00683505">
      <w:pPr>
        <w:spacing w:line="360" w:lineRule="auto"/>
        <w:rPr>
          <w:rFonts w:ascii="Verdana" w:hAnsi="Verdana" w:cs="Arial"/>
          <w:color w:val="000000"/>
          <w:sz w:val="20"/>
          <w:szCs w:val="20"/>
          <w:lang w:val="nl-NL"/>
        </w:rPr>
      </w:pPr>
      <w:r>
        <w:rPr>
          <w:rFonts w:ascii="Verdana" w:hAnsi="Verdana" w:cs="Arial"/>
          <w:color w:val="000000"/>
          <w:sz w:val="20"/>
          <w:szCs w:val="20"/>
          <w:lang w:val="nl-NL"/>
        </w:rPr>
        <w:t xml:space="preserve">Paragraaf 2 geeft de budgettaire consequenties voor artikel 14 Cultuur weer. </w:t>
      </w:r>
    </w:p>
    <w:p w:rsidR="00683505" w:rsidRDefault="00683505" w:rsidP="00683505">
      <w:pPr>
        <w:spacing w:line="360" w:lineRule="auto"/>
        <w:rPr>
          <w:rFonts w:ascii="Verdana" w:hAnsi="Verdana" w:cs="Arial"/>
          <w:b/>
          <w:sz w:val="20"/>
          <w:szCs w:val="20"/>
          <w:lang w:val="nl-NL"/>
        </w:rPr>
      </w:pPr>
    </w:p>
    <w:p w:rsidR="00683505" w:rsidRDefault="00683505" w:rsidP="00683505">
      <w:pPr>
        <w:spacing w:line="360" w:lineRule="auto"/>
        <w:rPr>
          <w:rFonts w:ascii="Verdana" w:hAnsi="Verdana" w:cs="Arial"/>
          <w:b/>
          <w:sz w:val="20"/>
          <w:szCs w:val="20"/>
          <w:lang w:val="nl-NL"/>
        </w:rPr>
      </w:pPr>
    </w:p>
    <w:p w:rsidR="00683505" w:rsidRDefault="00683505" w:rsidP="00683505">
      <w:pPr>
        <w:spacing w:line="360" w:lineRule="auto"/>
        <w:rPr>
          <w:rFonts w:ascii="Verdana" w:hAnsi="Verdana" w:cs="Arial"/>
          <w:b/>
          <w:sz w:val="20"/>
          <w:szCs w:val="20"/>
          <w:lang w:val="nl-NL"/>
        </w:rPr>
      </w:pPr>
      <w:r w:rsidRPr="00B112A3">
        <w:rPr>
          <w:rFonts w:ascii="Verdana" w:hAnsi="Verdana" w:cs="Arial"/>
          <w:b/>
          <w:sz w:val="20"/>
          <w:szCs w:val="20"/>
          <w:lang w:val="nl-NL"/>
        </w:rPr>
        <w:br w:type="page"/>
      </w:r>
      <w:r w:rsidRPr="003F6DF8">
        <w:rPr>
          <w:rFonts w:ascii="Verdana" w:hAnsi="Verdana" w:cs="Arial"/>
          <w:b/>
          <w:sz w:val="20"/>
          <w:szCs w:val="20"/>
          <w:lang w:val="nl-NL"/>
        </w:rPr>
        <w:lastRenderedPageBreak/>
        <w:t>2. Budgettaire consequenties beleidsartikelen</w:t>
      </w:r>
    </w:p>
    <w:p w:rsidR="00683505" w:rsidRDefault="00683505" w:rsidP="00683505">
      <w:pPr>
        <w:spacing w:line="360" w:lineRule="auto"/>
        <w:rPr>
          <w:rFonts w:ascii="Verdana" w:hAnsi="Verdana" w:cs="Arial"/>
          <w:b/>
          <w:sz w:val="20"/>
          <w:lang w:val="nl-NL"/>
        </w:rPr>
      </w:pPr>
    </w:p>
    <w:p w:rsidR="00683505" w:rsidRDefault="00683505" w:rsidP="00683505">
      <w:pPr>
        <w:spacing w:line="360" w:lineRule="auto"/>
        <w:rPr>
          <w:rFonts w:ascii="Verdana" w:hAnsi="Verdana" w:cs="Arial"/>
          <w:b/>
          <w:sz w:val="20"/>
          <w:lang w:val="nl-NL"/>
        </w:rPr>
      </w:pPr>
      <w:r w:rsidRPr="003F6DF8">
        <w:rPr>
          <w:rFonts w:ascii="Verdana" w:hAnsi="Verdana" w:cs="Arial"/>
          <w:b/>
          <w:sz w:val="20"/>
          <w:lang w:val="nl-NL"/>
        </w:rPr>
        <w:t>Artikel 1</w:t>
      </w:r>
      <w:r>
        <w:rPr>
          <w:rFonts w:ascii="Verdana" w:hAnsi="Verdana" w:cs="Arial"/>
          <w:b/>
          <w:sz w:val="20"/>
          <w:lang w:val="nl-NL"/>
        </w:rPr>
        <w:t>4</w:t>
      </w:r>
      <w:r w:rsidRPr="003F6DF8">
        <w:rPr>
          <w:rFonts w:ascii="Verdana" w:hAnsi="Verdana" w:cs="Arial"/>
          <w:b/>
          <w:sz w:val="20"/>
          <w:lang w:val="nl-NL"/>
        </w:rPr>
        <w:t xml:space="preserve">. </w:t>
      </w:r>
      <w:r>
        <w:rPr>
          <w:rFonts w:ascii="Verdana" w:hAnsi="Verdana" w:cs="Arial"/>
          <w:b/>
          <w:sz w:val="20"/>
          <w:lang w:val="nl-NL"/>
        </w:rPr>
        <w:t>Cultuur</w:t>
      </w:r>
    </w:p>
    <w:p w:rsidR="00683505" w:rsidRPr="003F6DF8" w:rsidRDefault="00683505" w:rsidP="00683505">
      <w:pPr>
        <w:spacing w:line="360" w:lineRule="auto"/>
        <w:rPr>
          <w:rFonts w:ascii="Verdana" w:hAnsi="Verdana" w:cs="Arial"/>
          <w:b/>
          <w:sz w:val="20"/>
          <w:szCs w:val="20"/>
          <w:lang w:val="nl-NL"/>
        </w:rPr>
      </w:pPr>
    </w:p>
    <w:tbl>
      <w:tblPr>
        <w:tblW w:w="5000" w:type="pct"/>
        <w:tblCellMar>
          <w:left w:w="70" w:type="dxa"/>
          <w:right w:w="70" w:type="dxa"/>
        </w:tblCellMar>
        <w:tblLook w:val="04A0" w:firstRow="1" w:lastRow="0" w:firstColumn="1" w:lastColumn="0" w:noHBand="0" w:noVBand="1"/>
      </w:tblPr>
      <w:tblGrid>
        <w:gridCol w:w="307"/>
        <w:gridCol w:w="235"/>
        <w:gridCol w:w="3522"/>
        <w:gridCol w:w="1601"/>
        <w:gridCol w:w="1181"/>
        <w:gridCol w:w="1181"/>
        <w:gridCol w:w="1183"/>
      </w:tblGrid>
      <w:tr w:rsidR="00683505" w:rsidRPr="002C366E" w:rsidTr="005A2454">
        <w:trPr>
          <w:trHeight w:val="435"/>
        </w:trPr>
        <w:tc>
          <w:tcPr>
            <w:tcW w:w="5000" w:type="pct"/>
            <w:gridSpan w:val="7"/>
            <w:tcBorders>
              <w:top w:val="single" w:sz="8" w:space="0" w:color="auto"/>
              <w:left w:val="nil"/>
              <w:bottom w:val="single" w:sz="8" w:space="0" w:color="auto"/>
              <w:right w:val="nil"/>
            </w:tcBorders>
            <w:shd w:val="clear" w:color="000000" w:fill="000000"/>
            <w:vAlign w:val="center"/>
            <w:hideMark/>
          </w:tcPr>
          <w:p w:rsidR="00683505" w:rsidRPr="00EB3701" w:rsidRDefault="00683505" w:rsidP="005A2454">
            <w:pPr>
              <w:rPr>
                <w:rFonts w:ascii="Verdana" w:hAnsi="Verdana"/>
                <w:b/>
                <w:bCs/>
                <w:color w:val="FFFFFF"/>
                <w:sz w:val="16"/>
                <w:szCs w:val="16"/>
                <w:lang w:val="nl-NL"/>
              </w:rPr>
            </w:pPr>
            <w:r w:rsidRPr="00EB3701">
              <w:rPr>
                <w:rFonts w:ascii="Verdana" w:hAnsi="Verdana"/>
                <w:b/>
                <w:bCs/>
                <w:color w:val="FFFFFF"/>
                <w:sz w:val="16"/>
                <w:szCs w:val="16"/>
                <w:lang w:val="nl-NL"/>
              </w:rPr>
              <w:t>Budgettaire gevolgen van beleid, beleidsartikel 14 (Incidentele suppletoire begroting) (bedragen x € 1.000)</w:t>
            </w:r>
          </w:p>
        </w:tc>
      </w:tr>
      <w:tr w:rsidR="00683505" w:rsidRPr="00EB3701" w:rsidTr="005A2454">
        <w:trPr>
          <w:trHeight w:val="1680"/>
        </w:trPr>
        <w:tc>
          <w:tcPr>
            <w:tcW w:w="167" w:type="pct"/>
            <w:tcBorders>
              <w:top w:val="single" w:sz="4" w:space="0" w:color="auto"/>
              <w:left w:val="nil"/>
              <w:bottom w:val="single" w:sz="4" w:space="0" w:color="auto"/>
              <w:right w:val="nil"/>
            </w:tcBorders>
            <w:shd w:val="clear" w:color="auto" w:fill="auto"/>
            <w:noWrap/>
            <w:hideMark/>
          </w:tcPr>
          <w:p w:rsidR="00683505" w:rsidRPr="00EB3701" w:rsidRDefault="00683505" w:rsidP="005A2454">
            <w:pPr>
              <w:rPr>
                <w:rFonts w:ascii="Verdana" w:hAnsi="Verdana"/>
                <w:sz w:val="16"/>
                <w:szCs w:val="16"/>
                <w:lang w:val="nl-NL"/>
              </w:rPr>
            </w:pPr>
            <w:r w:rsidRPr="00EB3701">
              <w:rPr>
                <w:rFonts w:ascii="Verdana" w:hAnsi="Verdana"/>
                <w:sz w:val="16"/>
                <w:szCs w:val="16"/>
                <w:lang w:val="nl-NL"/>
              </w:rPr>
              <w:t> </w:t>
            </w:r>
          </w:p>
        </w:tc>
        <w:tc>
          <w:tcPr>
            <w:tcW w:w="128" w:type="pct"/>
            <w:tcBorders>
              <w:top w:val="single" w:sz="4" w:space="0" w:color="auto"/>
              <w:left w:val="nil"/>
              <w:bottom w:val="single" w:sz="4" w:space="0" w:color="auto"/>
              <w:right w:val="nil"/>
            </w:tcBorders>
            <w:shd w:val="clear" w:color="auto" w:fill="auto"/>
            <w:noWrap/>
            <w:hideMark/>
          </w:tcPr>
          <w:p w:rsidR="00683505" w:rsidRPr="00EB3701" w:rsidRDefault="00683505" w:rsidP="005A2454">
            <w:pPr>
              <w:rPr>
                <w:rFonts w:ascii="Verdana" w:hAnsi="Verdana"/>
                <w:sz w:val="16"/>
                <w:szCs w:val="16"/>
                <w:lang w:val="nl-NL"/>
              </w:rPr>
            </w:pPr>
            <w:r w:rsidRPr="00EB3701">
              <w:rPr>
                <w:rFonts w:ascii="Verdana" w:hAnsi="Verdana"/>
                <w:sz w:val="16"/>
                <w:szCs w:val="16"/>
                <w:lang w:val="nl-NL"/>
              </w:rPr>
              <w:t> </w:t>
            </w:r>
          </w:p>
        </w:tc>
        <w:tc>
          <w:tcPr>
            <w:tcW w:w="1912" w:type="pct"/>
            <w:tcBorders>
              <w:top w:val="single" w:sz="4" w:space="0" w:color="auto"/>
              <w:left w:val="nil"/>
              <w:bottom w:val="single" w:sz="4" w:space="0" w:color="auto"/>
              <w:right w:val="nil"/>
            </w:tcBorders>
            <w:shd w:val="clear" w:color="auto" w:fill="auto"/>
            <w:hideMark/>
          </w:tcPr>
          <w:p w:rsidR="00683505" w:rsidRPr="00EB3701" w:rsidRDefault="00683505" w:rsidP="005A2454">
            <w:pPr>
              <w:rPr>
                <w:rFonts w:ascii="Verdana" w:hAnsi="Verdana"/>
                <w:sz w:val="16"/>
                <w:szCs w:val="16"/>
                <w:lang w:val="nl-NL"/>
              </w:rPr>
            </w:pPr>
            <w:r w:rsidRPr="00EB3701">
              <w:rPr>
                <w:rFonts w:ascii="Verdana" w:hAnsi="Verdana"/>
                <w:sz w:val="16"/>
                <w:szCs w:val="16"/>
                <w:lang w:val="nl-NL"/>
              </w:rPr>
              <w:t> </w:t>
            </w:r>
          </w:p>
        </w:tc>
        <w:tc>
          <w:tcPr>
            <w:tcW w:w="869" w:type="pct"/>
            <w:tcBorders>
              <w:top w:val="nil"/>
              <w:left w:val="nil"/>
              <w:bottom w:val="single" w:sz="4" w:space="0" w:color="auto"/>
              <w:right w:val="nil"/>
            </w:tcBorders>
            <w:shd w:val="clear" w:color="auto" w:fill="auto"/>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Stand oorspronkelijk vastgestelde begroting (na Nota van Wijziging, amendementen en ISB) (1)</w:t>
            </w:r>
          </w:p>
        </w:tc>
        <w:tc>
          <w:tcPr>
            <w:tcW w:w="641" w:type="pct"/>
            <w:tcBorders>
              <w:top w:val="nil"/>
              <w:left w:val="nil"/>
              <w:bottom w:val="single" w:sz="4" w:space="0" w:color="auto"/>
              <w:right w:val="nil"/>
            </w:tcBorders>
            <w:shd w:val="clear" w:color="auto" w:fill="auto"/>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Stand 1e suppletoire begroting (2)</w:t>
            </w:r>
          </w:p>
        </w:tc>
        <w:tc>
          <w:tcPr>
            <w:tcW w:w="641" w:type="pct"/>
            <w:tcBorders>
              <w:top w:val="nil"/>
              <w:left w:val="nil"/>
              <w:bottom w:val="single" w:sz="4" w:space="0" w:color="auto"/>
              <w:right w:val="nil"/>
            </w:tcBorders>
            <w:shd w:val="clear" w:color="auto" w:fill="auto"/>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Mutaties incidentele suppletoire begroting (3)</w:t>
            </w:r>
          </w:p>
        </w:tc>
        <w:tc>
          <w:tcPr>
            <w:tcW w:w="641" w:type="pct"/>
            <w:tcBorders>
              <w:top w:val="nil"/>
              <w:left w:val="nil"/>
              <w:bottom w:val="single" w:sz="4" w:space="0" w:color="auto"/>
              <w:right w:val="nil"/>
            </w:tcBorders>
            <w:shd w:val="clear" w:color="auto" w:fill="auto"/>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Stand incidentele suppletoire begroting (4)=(2+3)</w:t>
            </w:r>
          </w:p>
        </w:tc>
      </w:tr>
      <w:tr w:rsidR="00683505" w:rsidRPr="00EB3701" w:rsidTr="005A2454">
        <w:trPr>
          <w:trHeight w:val="210"/>
        </w:trPr>
        <w:tc>
          <w:tcPr>
            <w:tcW w:w="2207" w:type="pct"/>
            <w:gridSpan w:val="3"/>
            <w:tcBorders>
              <w:top w:val="nil"/>
              <w:left w:val="nil"/>
              <w:bottom w:val="nil"/>
              <w:right w:val="nil"/>
            </w:tcBorders>
            <w:shd w:val="clear" w:color="auto" w:fill="auto"/>
            <w:noWrap/>
            <w:hideMark/>
          </w:tcPr>
          <w:p w:rsidR="00683505" w:rsidRPr="00EB3701" w:rsidRDefault="00683505" w:rsidP="005A2454">
            <w:pPr>
              <w:rPr>
                <w:rFonts w:ascii="Verdana" w:hAnsi="Verdana"/>
                <w:b/>
                <w:bCs/>
                <w:color w:val="000000"/>
                <w:sz w:val="16"/>
                <w:szCs w:val="16"/>
                <w:lang w:val="nl-NL"/>
              </w:rPr>
            </w:pPr>
            <w:r w:rsidRPr="00EB3701">
              <w:rPr>
                <w:rFonts w:ascii="Verdana" w:hAnsi="Verdana"/>
                <w:b/>
                <w:bCs/>
                <w:color w:val="000000"/>
                <w:sz w:val="16"/>
                <w:szCs w:val="16"/>
                <w:lang w:val="nl-NL"/>
              </w:rPr>
              <w:t>Verplichtingen</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892.898</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855.433</w:t>
            </w:r>
          </w:p>
        </w:tc>
        <w:tc>
          <w:tcPr>
            <w:tcW w:w="641" w:type="pct"/>
            <w:tcBorders>
              <w:top w:val="nil"/>
              <w:left w:val="nil"/>
              <w:bottom w:val="nil"/>
              <w:right w:val="nil"/>
            </w:tcBorders>
            <w:shd w:val="clear" w:color="auto" w:fill="auto"/>
            <w:hideMark/>
          </w:tcPr>
          <w:p w:rsidR="00683505" w:rsidRPr="00EB3701" w:rsidRDefault="00683505" w:rsidP="005A2454">
            <w:pPr>
              <w:jc w:val="right"/>
              <w:rPr>
                <w:rFonts w:ascii="Verdana" w:hAnsi="Verdana"/>
                <w:b/>
                <w:bCs/>
                <w:sz w:val="16"/>
                <w:szCs w:val="16"/>
                <w:lang w:val="nl-NL"/>
              </w:rPr>
            </w:pPr>
            <w:r w:rsidRPr="00EB3701">
              <w:rPr>
                <w:rFonts w:ascii="Verdana" w:hAnsi="Verdana"/>
                <w:b/>
                <w:bCs/>
                <w:sz w:val="16"/>
                <w:szCs w:val="16"/>
                <w:lang w:val="nl-NL"/>
              </w:rPr>
              <w:t>80.000</w:t>
            </w:r>
          </w:p>
        </w:tc>
        <w:tc>
          <w:tcPr>
            <w:tcW w:w="641" w:type="pct"/>
            <w:tcBorders>
              <w:top w:val="nil"/>
              <w:left w:val="nil"/>
              <w:bottom w:val="nil"/>
              <w:right w:val="nil"/>
            </w:tcBorders>
            <w:shd w:val="clear" w:color="auto" w:fill="auto"/>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935.433</w:t>
            </w:r>
          </w:p>
        </w:tc>
      </w:tr>
      <w:tr w:rsidR="00683505" w:rsidRPr="00EB3701" w:rsidTr="005A2454">
        <w:trPr>
          <w:trHeight w:val="210"/>
        </w:trPr>
        <w:tc>
          <w:tcPr>
            <w:tcW w:w="2207" w:type="pct"/>
            <w:gridSpan w:val="3"/>
            <w:tcBorders>
              <w:top w:val="nil"/>
              <w:left w:val="nil"/>
              <w:bottom w:val="single" w:sz="4" w:space="0" w:color="auto"/>
              <w:right w:val="nil"/>
            </w:tcBorders>
            <w:shd w:val="clear" w:color="auto" w:fill="auto"/>
            <w:noWrap/>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Waarvan garantieverplichtingen</w:t>
            </w:r>
          </w:p>
        </w:tc>
        <w:tc>
          <w:tcPr>
            <w:tcW w:w="869" w:type="pct"/>
            <w:tcBorders>
              <w:top w:val="nil"/>
              <w:left w:val="nil"/>
              <w:bottom w:val="single" w:sz="4" w:space="0" w:color="auto"/>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629.000</w:t>
            </w:r>
          </w:p>
        </w:tc>
        <w:tc>
          <w:tcPr>
            <w:tcW w:w="641" w:type="pct"/>
            <w:tcBorders>
              <w:top w:val="nil"/>
              <w:left w:val="nil"/>
              <w:bottom w:val="single" w:sz="4" w:space="0" w:color="auto"/>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629.000</w:t>
            </w:r>
          </w:p>
        </w:tc>
        <w:tc>
          <w:tcPr>
            <w:tcW w:w="641" w:type="pct"/>
            <w:tcBorders>
              <w:top w:val="nil"/>
              <w:left w:val="nil"/>
              <w:bottom w:val="single" w:sz="4" w:space="0" w:color="auto"/>
              <w:right w:val="nil"/>
            </w:tcBorders>
            <w:shd w:val="clear" w:color="auto" w:fill="auto"/>
            <w:hideMark/>
          </w:tcPr>
          <w:p w:rsidR="00683505" w:rsidRPr="00EB3701" w:rsidRDefault="00683505" w:rsidP="005A2454">
            <w:pPr>
              <w:jc w:val="right"/>
              <w:rPr>
                <w:rFonts w:ascii="Verdana" w:hAnsi="Verdana"/>
                <w:sz w:val="16"/>
                <w:szCs w:val="16"/>
                <w:lang w:val="nl-NL"/>
              </w:rPr>
            </w:pPr>
            <w:r w:rsidRPr="00EB3701">
              <w:rPr>
                <w:rFonts w:ascii="Verdana" w:hAnsi="Verdana"/>
                <w:sz w:val="16"/>
                <w:szCs w:val="16"/>
                <w:lang w:val="nl-NL"/>
              </w:rPr>
              <w:t> </w:t>
            </w:r>
          </w:p>
        </w:tc>
        <w:tc>
          <w:tcPr>
            <w:tcW w:w="641" w:type="pct"/>
            <w:tcBorders>
              <w:top w:val="nil"/>
              <w:left w:val="nil"/>
              <w:bottom w:val="single" w:sz="4" w:space="0" w:color="auto"/>
              <w:right w:val="nil"/>
            </w:tcBorders>
            <w:shd w:val="clear" w:color="auto" w:fill="auto"/>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629.000</w:t>
            </w:r>
          </w:p>
        </w:tc>
      </w:tr>
      <w:tr w:rsidR="00683505" w:rsidRPr="00EB3701" w:rsidTr="005A2454">
        <w:trPr>
          <w:trHeight w:val="210"/>
        </w:trPr>
        <w:tc>
          <w:tcPr>
            <w:tcW w:w="2207" w:type="pct"/>
            <w:gridSpan w:val="3"/>
            <w:tcBorders>
              <w:top w:val="single" w:sz="4" w:space="0" w:color="auto"/>
              <w:left w:val="nil"/>
              <w:bottom w:val="nil"/>
              <w:right w:val="nil"/>
            </w:tcBorders>
            <w:shd w:val="clear" w:color="auto" w:fill="auto"/>
            <w:noWrap/>
            <w:vAlign w:val="center"/>
            <w:hideMark/>
          </w:tcPr>
          <w:p w:rsidR="00683505" w:rsidRPr="00EB3701" w:rsidRDefault="00683505" w:rsidP="005A2454">
            <w:pPr>
              <w:rPr>
                <w:rFonts w:ascii="Verdana" w:hAnsi="Verdana"/>
                <w:b/>
                <w:bCs/>
                <w:color w:val="000000"/>
                <w:sz w:val="16"/>
                <w:szCs w:val="16"/>
                <w:lang w:val="nl-NL"/>
              </w:rPr>
            </w:pPr>
            <w:r w:rsidRPr="00EB3701">
              <w:rPr>
                <w:rFonts w:ascii="Verdana" w:hAnsi="Verdana"/>
                <w:b/>
                <w:bCs/>
                <w:color w:val="000000"/>
                <w:sz w:val="16"/>
                <w:szCs w:val="16"/>
                <w:lang w:val="nl-NL"/>
              </w:rPr>
              <w:t>Totale uitgaven</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733.744</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716.064</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sz w:val="17"/>
                <w:szCs w:val="17"/>
                <w:lang w:val="nl-NL"/>
              </w:rPr>
            </w:pPr>
            <w:r w:rsidRPr="00EB3701">
              <w:rPr>
                <w:rFonts w:ascii="Verdana" w:hAnsi="Verdana"/>
                <w:b/>
                <w:bCs/>
                <w:sz w:val="17"/>
                <w:szCs w:val="17"/>
                <w:lang w:val="nl-NL"/>
              </w:rPr>
              <w:t>80.000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7"/>
                <w:szCs w:val="17"/>
                <w:lang w:val="nl-NL"/>
              </w:rPr>
            </w:pPr>
            <w:r w:rsidRPr="00EB3701">
              <w:rPr>
                <w:rFonts w:ascii="Verdana" w:hAnsi="Verdana"/>
                <w:b/>
                <w:bCs/>
                <w:color w:val="000000"/>
                <w:sz w:val="17"/>
                <w:szCs w:val="17"/>
                <w:lang w:val="nl-NL"/>
              </w:rPr>
              <w:t>796.064</w:t>
            </w:r>
          </w:p>
        </w:tc>
      </w:tr>
      <w:tr w:rsidR="00683505" w:rsidRPr="00EB3701" w:rsidTr="005A2454">
        <w:trPr>
          <w:trHeight w:val="300"/>
        </w:trPr>
        <w:tc>
          <w:tcPr>
            <w:tcW w:w="2207" w:type="pct"/>
            <w:gridSpan w:val="3"/>
            <w:tcBorders>
              <w:top w:val="nil"/>
              <w:left w:val="nil"/>
              <w:bottom w:val="nil"/>
              <w:right w:val="nil"/>
            </w:tcBorders>
            <w:shd w:val="clear" w:color="auto" w:fill="auto"/>
            <w:noWrap/>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Waarvan juridisch verplicht</w:t>
            </w:r>
          </w:p>
        </w:tc>
        <w:tc>
          <w:tcPr>
            <w:tcW w:w="869" w:type="pct"/>
            <w:tcBorders>
              <w:top w:val="nil"/>
              <w:left w:val="nil"/>
              <w:bottom w:val="nil"/>
              <w:right w:val="nil"/>
            </w:tcBorders>
            <w:shd w:val="clear" w:color="auto" w:fill="auto"/>
            <w:noWrap/>
            <w:hideMark/>
          </w:tcPr>
          <w:p w:rsidR="00683505" w:rsidRPr="00EB3701" w:rsidRDefault="00683505" w:rsidP="005A2454">
            <w:pPr>
              <w:rPr>
                <w:rFonts w:ascii="Calibri" w:hAnsi="Calibri"/>
                <w:color w:val="000000"/>
                <w:sz w:val="22"/>
                <w:szCs w:val="22"/>
                <w:lang w:val="nl-NL"/>
              </w:rPr>
            </w:pP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97,40%</w:t>
            </w:r>
          </w:p>
        </w:tc>
        <w:tc>
          <w:tcPr>
            <w:tcW w:w="641" w:type="pct"/>
            <w:tcBorders>
              <w:top w:val="nil"/>
              <w:left w:val="nil"/>
              <w:bottom w:val="nil"/>
              <w:right w:val="nil"/>
            </w:tcBorders>
            <w:shd w:val="clear" w:color="auto" w:fill="auto"/>
            <w:noWrap/>
            <w:hideMark/>
          </w:tcPr>
          <w:p w:rsidR="00683505" w:rsidRPr="00EB3701" w:rsidRDefault="00683505" w:rsidP="005A2454">
            <w:pPr>
              <w:rPr>
                <w:rFonts w:ascii="Verdana" w:hAnsi="Verdana"/>
                <w:sz w:val="17"/>
                <w:szCs w:val="17"/>
                <w:lang w:val="nl-NL"/>
              </w:rPr>
            </w:pP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p>
        </w:tc>
      </w:tr>
      <w:tr w:rsidR="00683505" w:rsidRPr="00EB3701" w:rsidTr="005A2454">
        <w:trPr>
          <w:trHeight w:val="195"/>
        </w:trPr>
        <w:tc>
          <w:tcPr>
            <w:tcW w:w="2207" w:type="pct"/>
            <w:gridSpan w:val="3"/>
            <w:tcBorders>
              <w:top w:val="nil"/>
              <w:left w:val="nil"/>
              <w:bottom w:val="nil"/>
              <w:right w:val="nil"/>
            </w:tcBorders>
            <w:shd w:val="clear" w:color="auto" w:fill="auto"/>
            <w:noWrap/>
            <w:vAlign w:val="bottom"/>
            <w:hideMark/>
          </w:tcPr>
          <w:p w:rsidR="00683505" w:rsidRPr="00EB3701" w:rsidRDefault="00683505" w:rsidP="005A2454">
            <w:pPr>
              <w:rPr>
                <w:color w:val="000000"/>
                <w:sz w:val="20"/>
                <w:szCs w:val="20"/>
                <w:lang w:val="nl-NL"/>
              </w:rPr>
            </w:pPr>
          </w:p>
        </w:tc>
        <w:tc>
          <w:tcPr>
            <w:tcW w:w="869" w:type="pct"/>
            <w:tcBorders>
              <w:top w:val="nil"/>
              <w:left w:val="nil"/>
              <w:bottom w:val="nil"/>
              <w:right w:val="nil"/>
            </w:tcBorders>
            <w:shd w:val="clear" w:color="auto" w:fill="auto"/>
            <w:noWrap/>
            <w:hideMark/>
          </w:tcPr>
          <w:p w:rsidR="00683505" w:rsidRPr="00EB3701" w:rsidRDefault="00683505" w:rsidP="005A2454">
            <w:pPr>
              <w:rPr>
                <w:rFonts w:ascii="Calibri" w:hAnsi="Calibri"/>
                <w:color w:val="000000"/>
                <w:sz w:val="22"/>
                <w:szCs w:val="22"/>
                <w:lang w:val="nl-NL"/>
              </w:rPr>
            </w:pPr>
          </w:p>
        </w:tc>
        <w:tc>
          <w:tcPr>
            <w:tcW w:w="641" w:type="pct"/>
            <w:tcBorders>
              <w:top w:val="nil"/>
              <w:left w:val="nil"/>
              <w:bottom w:val="nil"/>
              <w:right w:val="nil"/>
            </w:tcBorders>
            <w:shd w:val="clear" w:color="auto" w:fill="auto"/>
            <w:noWrap/>
            <w:hideMark/>
          </w:tcPr>
          <w:p w:rsidR="00683505" w:rsidRPr="00EB3701" w:rsidRDefault="00683505" w:rsidP="005A2454">
            <w:pPr>
              <w:rPr>
                <w:rFonts w:ascii="Calibri" w:hAnsi="Calibri"/>
                <w:color w:val="000000"/>
                <w:sz w:val="22"/>
                <w:szCs w:val="22"/>
                <w:lang w:val="nl-NL"/>
              </w:rPr>
            </w:pPr>
          </w:p>
        </w:tc>
        <w:tc>
          <w:tcPr>
            <w:tcW w:w="641" w:type="pct"/>
            <w:tcBorders>
              <w:top w:val="nil"/>
              <w:left w:val="nil"/>
              <w:bottom w:val="nil"/>
              <w:right w:val="nil"/>
            </w:tcBorders>
            <w:shd w:val="clear" w:color="auto" w:fill="auto"/>
            <w:noWrap/>
            <w:hideMark/>
          </w:tcPr>
          <w:p w:rsidR="00683505" w:rsidRPr="00EB3701" w:rsidRDefault="00683505" w:rsidP="005A2454">
            <w:pPr>
              <w:rPr>
                <w:rFonts w:ascii="Verdana" w:hAnsi="Verdana"/>
                <w:sz w:val="17"/>
                <w:szCs w:val="17"/>
                <w:lang w:val="nl-NL"/>
              </w:rPr>
            </w:pPr>
          </w:p>
        </w:tc>
        <w:tc>
          <w:tcPr>
            <w:tcW w:w="641" w:type="pct"/>
            <w:tcBorders>
              <w:top w:val="nil"/>
              <w:left w:val="nil"/>
              <w:bottom w:val="nil"/>
              <w:right w:val="nil"/>
            </w:tcBorders>
            <w:shd w:val="clear" w:color="auto" w:fill="auto"/>
            <w:noWrap/>
            <w:hideMark/>
          </w:tcPr>
          <w:p w:rsidR="00683505" w:rsidRPr="00EB3701" w:rsidRDefault="00683505" w:rsidP="005A2454">
            <w:pPr>
              <w:rPr>
                <w:rFonts w:ascii="Verdana" w:hAnsi="Verdana"/>
                <w:color w:val="000000"/>
                <w:sz w:val="17"/>
                <w:szCs w:val="17"/>
                <w:lang w:val="nl-NL"/>
              </w:rPr>
            </w:pPr>
          </w:p>
        </w:tc>
      </w:tr>
      <w:tr w:rsidR="00683505" w:rsidRPr="00EB3701" w:rsidTr="005A2454">
        <w:trPr>
          <w:trHeight w:val="210"/>
        </w:trPr>
        <w:tc>
          <w:tcPr>
            <w:tcW w:w="2207" w:type="pct"/>
            <w:gridSpan w:val="3"/>
            <w:tcBorders>
              <w:top w:val="nil"/>
              <w:left w:val="nil"/>
              <w:bottom w:val="nil"/>
              <w:right w:val="nil"/>
            </w:tcBorders>
            <w:shd w:val="clear" w:color="auto" w:fill="auto"/>
            <w:noWrap/>
            <w:vAlign w:val="center"/>
            <w:hideMark/>
          </w:tcPr>
          <w:p w:rsidR="00683505" w:rsidRPr="00EB3701" w:rsidRDefault="00683505" w:rsidP="005A2454">
            <w:pPr>
              <w:rPr>
                <w:rFonts w:ascii="Verdana" w:hAnsi="Verdana"/>
                <w:b/>
                <w:bCs/>
                <w:color w:val="000000"/>
                <w:sz w:val="16"/>
                <w:szCs w:val="16"/>
                <w:lang w:val="nl-NL"/>
              </w:rPr>
            </w:pPr>
            <w:r w:rsidRPr="00EB3701">
              <w:rPr>
                <w:rFonts w:ascii="Verdana" w:hAnsi="Verdana"/>
                <w:b/>
                <w:bCs/>
                <w:color w:val="000000"/>
                <w:sz w:val="16"/>
                <w:szCs w:val="16"/>
                <w:lang w:val="nl-NL"/>
              </w:rPr>
              <w:t>Bekostiging</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614.211</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623.235</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sz w:val="17"/>
                <w:szCs w:val="17"/>
                <w:lang w:val="nl-NL"/>
              </w:rPr>
            </w:pPr>
            <w:r w:rsidRPr="00EB3701">
              <w:rPr>
                <w:rFonts w:ascii="Verdana" w:hAnsi="Verdana"/>
                <w:b/>
                <w:bCs/>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7"/>
                <w:szCs w:val="17"/>
                <w:lang w:val="nl-NL"/>
              </w:rPr>
            </w:pPr>
            <w:r w:rsidRPr="00EB3701">
              <w:rPr>
                <w:rFonts w:ascii="Verdana" w:hAnsi="Verdana"/>
                <w:b/>
                <w:bCs/>
                <w:color w:val="000000"/>
                <w:sz w:val="17"/>
                <w:szCs w:val="17"/>
                <w:lang w:val="nl-NL"/>
              </w:rPr>
              <w:t>623.235</w:t>
            </w:r>
          </w:p>
        </w:tc>
      </w:tr>
      <w:tr w:rsidR="00683505" w:rsidRPr="00EB3701" w:rsidTr="005A2454">
        <w:trPr>
          <w:trHeight w:val="255"/>
        </w:trPr>
        <w:tc>
          <w:tcPr>
            <w:tcW w:w="167" w:type="pct"/>
            <w:tcBorders>
              <w:top w:val="nil"/>
              <w:left w:val="nil"/>
              <w:bottom w:val="nil"/>
              <w:right w:val="nil"/>
            </w:tcBorders>
            <w:shd w:val="clear" w:color="auto" w:fill="auto"/>
            <w:noWrap/>
            <w:vAlign w:val="bottom"/>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w:t>
            </w:r>
          </w:p>
        </w:tc>
        <w:tc>
          <w:tcPr>
            <w:tcW w:w="1912" w:type="pct"/>
            <w:tcBorders>
              <w:top w:val="nil"/>
              <w:left w:val="nil"/>
              <w:bottom w:val="nil"/>
              <w:right w:val="nil"/>
            </w:tcBorders>
            <w:shd w:val="clear" w:color="auto" w:fill="auto"/>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 xml:space="preserve">Culturele basisinfrastructuur </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480.811</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469.622</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469.622</w:t>
            </w:r>
          </w:p>
        </w:tc>
      </w:tr>
      <w:tr w:rsidR="00683505" w:rsidRPr="00EB3701" w:rsidTr="005A2454">
        <w:trPr>
          <w:trHeight w:val="255"/>
        </w:trPr>
        <w:tc>
          <w:tcPr>
            <w:tcW w:w="167" w:type="pct"/>
            <w:tcBorders>
              <w:top w:val="nil"/>
              <w:left w:val="nil"/>
              <w:bottom w:val="nil"/>
              <w:right w:val="nil"/>
            </w:tcBorders>
            <w:shd w:val="clear" w:color="auto" w:fill="auto"/>
            <w:noWrap/>
            <w:vAlign w:val="bottom"/>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rPr>
                <w:color w:val="000000"/>
                <w:sz w:val="20"/>
                <w:szCs w:val="20"/>
                <w:lang w:val="nl-NL"/>
              </w:rPr>
            </w:pPr>
          </w:p>
        </w:tc>
        <w:tc>
          <w:tcPr>
            <w:tcW w:w="1912" w:type="pct"/>
            <w:tcBorders>
              <w:top w:val="nil"/>
              <w:left w:val="nil"/>
              <w:bottom w:val="nil"/>
              <w:right w:val="nil"/>
            </w:tcBorders>
            <w:shd w:val="clear" w:color="auto" w:fill="auto"/>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Vierjaarlijkse instellingen</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327.558</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316.369</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316.369</w:t>
            </w:r>
          </w:p>
        </w:tc>
      </w:tr>
      <w:tr w:rsidR="00683505" w:rsidRPr="00EB3701" w:rsidTr="005A2454">
        <w:trPr>
          <w:trHeight w:val="255"/>
        </w:trPr>
        <w:tc>
          <w:tcPr>
            <w:tcW w:w="167" w:type="pct"/>
            <w:tcBorders>
              <w:top w:val="nil"/>
              <w:left w:val="nil"/>
              <w:bottom w:val="nil"/>
              <w:right w:val="nil"/>
            </w:tcBorders>
            <w:shd w:val="clear" w:color="auto" w:fill="auto"/>
            <w:noWrap/>
            <w:vAlign w:val="bottom"/>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rPr>
                <w:color w:val="000000"/>
                <w:sz w:val="20"/>
                <w:szCs w:val="20"/>
                <w:lang w:val="nl-NL"/>
              </w:rPr>
            </w:pPr>
          </w:p>
        </w:tc>
        <w:tc>
          <w:tcPr>
            <w:tcW w:w="1912" w:type="pct"/>
            <w:tcBorders>
              <w:top w:val="nil"/>
              <w:left w:val="nil"/>
              <w:bottom w:val="nil"/>
              <w:right w:val="nil"/>
            </w:tcBorders>
            <w:shd w:val="clear" w:color="auto" w:fill="auto"/>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Vierjaarlijkse fondsen</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153.253</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153.253</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153.253</w:t>
            </w:r>
          </w:p>
        </w:tc>
      </w:tr>
      <w:tr w:rsidR="00683505" w:rsidRPr="00EB3701" w:rsidTr="005A2454">
        <w:trPr>
          <w:trHeight w:val="255"/>
        </w:trPr>
        <w:tc>
          <w:tcPr>
            <w:tcW w:w="167" w:type="pct"/>
            <w:tcBorders>
              <w:top w:val="nil"/>
              <w:left w:val="nil"/>
              <w:bottom w:val="nil"/>
              <w:right w:val="nil"/>
            </w:tcBorders>
            <w:shd w:val="clear" w:color="auto" w:fill="auto"/>
            <w:noWrap/>
            <w:vAlign w:val="bottom"/>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w:t>
            </w:r>
          </w:p>
        </w:tc>
        <w:tc>
          <w:tcPr>
            <w:tcW w:w="1912" w:type="pct"/>
            <w:tcBorders>
              <w:top w:val="nil"/>
              <w:left w:val="nil"/>
              <w:bottom w:val="nil"/>
              <w:right w:val="nil"/>
            </w:tcBorders>
            <w:shd w:val="clear" w:color="auto" w:fill="auto"/>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Monumentenzorg</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82.691</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82.691</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82.691</w:t>
            </w:r>
          </w:p>
        </w:tc>
      </w:tr>
      <w:tr w:rsidR="00683505" w:rsidRPr="00EB3701" w:rsidTr="005A2454">
        <w:trPr>
          <w:trHeight w:val="420"/>
        </w:trPr>
        <w:tc>
          <w:tcPr>
            <w:tcW w:w="167" w:type="pct"/>
            <w:tcBorders>
              <w:top w:val="nil"/>
              <w:left w:val="nil"/>
              <w:bottom w:val="nil"/>
              <w:right w:val="nil"/>
            </w:tcBorders>
            <w:shd w:val="clear" w:color="auto" w:fill="auto"/>
            <w:noWrap/>
            <w:vAlign w:val="bottom"/>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w:t>
            </w:r>
          </w:p>
        </w:tc>
        <w:tc>
          <w:tcPr>
            <w:tcW w:w="1912" w:type="pct"/>
            <w:tcBorders>
              <w:top w:val="nil"/>
              <w:left w:val="nil"/>
              <w:bottom w:val="nil"/>
              <w:right w:val="nil"/>
            </w:tcBorders>
            <w:shd w:val="clear" w:color="auto" w:fill="auto"/>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Archieven incl. Regionale Historische Centra</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24.905</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25.011</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25.011</w:t>
            </w:r>
          </w:p>
        </w:tc>
      </w:tr>
      <w:tr w:rsidR="00683505" w:rsidRPr="00EB3701" w:rsidTr="005A2454">
        <w:trPr>
          <w:trHeight w:val="420"/>
        </w:trPr>
        <w:tc>
          <w:tcPr>
            <w:tcW w:w="167" w:type="pct"/>
            <w:tcBorders>
              <w:top w:val="nil"/>
              <w:left w:val="nil"/>
              <w:bottom w:val="nil"/>
              <w:right w:val="nil"/>
            </w:tcBorders>
            <w:shd w:val="clear" w:color="auto" w:fill="auto"/>
            <w:noWrap/>
            <w:vAlign w:val="bottom"/>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w:t>
            </w:r>
          </w:p>
        </w:tc>
        <w:tc>
          <w:tcPr>
            <w:tcW w:w="1912" w:type="pct"/>
            <w:tcBorders>
              <w:top w:val="nil"/>
              <w:left w:val="nil"/>
              <w:bottom w:val="nil"/>
              <w:right w:val="nil"/>
            </w:tcBorders>
            <w:shd w:val="clear" w:color="auto" w:fill="auto"/>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 xml:space="preserve">Investeringen huisvesting </w:t>
            </w:r>
            <w:proofErr w:type="spellStart"/>
            <w:r w:rsidRPr="00EB3701">
              <w:rPr>
                <w:rFonts w:ascii="Verdana" w:hAnsi="Verdana"/>
                <w:color w:val="000000"/>
                <w:sz w:val="16"/>
                <w:szCs w:val="16"/>
                <w:lang w:val="nl-NL"/>
              </w:rPr>
              <w:t>rijksgesubsidieerde</w:t>
            </w:r>
            <w:proofErr w:type="spellEnd"/>
            <w:r w:rsidRPr="00EB3701">
              <w:rPr>
                <w:rFonts w:ascii="Verdana" w:hAnsi="Verdana"/>
                <w:color w:val="000000"/>
                <w:sz w:val="16"/>
                <w:szCs w:val="16"/>
                <w:lang w:val="nl-NL"/>
              </w:rPr>
              <w:t xml:space="preserve"> musea</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14.242</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34.549</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34.549</w:t>
            </w:r>
          </w:p>
        </w:tc>
      </w:tr>
      <w:tr w:rsidR="00683505" w:rsidRPr="00EB3701" w:rsidTr="005A2454">
        <w:trPr>
          <w:trHeight w:val="255"/>
        </w:trPr>
        <w:tc>
          <w:tcPr>
            <w:tcW w:w="167" w:type="pct"/>
            <w:tcBorders>
              <w:top w:val="nil"/>
              <w:left w:val="nil"/>
              <w:bottom w:val="nil"/>
              <w:right w:val="nil"/>
            </w:tcBorders>
            <w:shd w:val="clear" w:color="auto" w:fill="auto"/>
            <w:noWrap/>
            <w:vAlign w:val="bottom"/>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w:t>
            </w:r>
          </w:p>
        </w:tc>
        <w:tc>
          <w:tcPr>
            <w:tcW w:w="1912" w:type="pct"/>
            <w:tcBorders>
              <w:top w:val="nil"/>
              <w:left w:val="nil"/>
              <w:bottom w:val="nil"/>
              <w:right w:val="nil"/>
            </w:tcBorders>
            <w:shd w:val="clear" w:color="auto" w:fill="auto"/>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Cultuureducatie met Kwaliteit</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10.000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10.000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10.000</w:t>
            </w:r>
          </w:p>
        </w:tc>
      </w:tr>
      <w:tr w:rsidR="00683505" w:rsidRPr="00EB3701" w:rsidTr="005A2454">
        <w:trPr>
          <w:trHeight w:val="255"/>
        </w:trPr>
        <w:tc>
          <w:tcPr>
            <w:tcW w:w="167" w:type="pct"/>
            <w:tcBorders>
              <w:top w:val="nil"/>
              <w:left w:val="nil"/>
              <w:bottom w:val="nil"/>
              <w:right w:val="nil"/>
            </w:tcBorders>
            <w:shd w:val="clear" w:color="auto" w:fill="auto"/>
            <w:noWrap/>
            <w:vAlign w:val="bottom"/>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w:t>
            </w:r>
          </w:p>
        </w:tc>
        <w:tc>
          <w:tcPr>
            <w:tcW w:w="1912" w:type="pct"/>
            <w:tcBorders>
              <w:top w:val="nil"/>
              <w:left w:val="nil"/>
              <w:bottom w:val="nil"/>
              <w:right w:val="nil"/>
            </w:tcBorders>
            <w:shd w:val="clear" w:color="auto" w:fill="auto"/>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Archeologie</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1.562</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1.362</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1.362</w:t>
            </w:r>
          </w:p>
        </w:tc>
      </w:tr>
      <w:tr w:rsidR="00683505" w:rsidRPr="00EB3701" w:rsidTr="005A2454">
        <w:trPr>
          <w:trHeight w:val="195"/>
        </w:trPr>
        <w:tc>
          <w:tcPr>
            <w:tcW w:w="2207" w:type="pct"/>
            <w:gridSpan w:val="3"/>
            <w:tcBorders>
              <w:top w:val="nil"/>
              <w:left w:val="nil"/>
              <w:bottom w:val="nil"/>
              <w:right w:val="nil"/>
            </w:tcBorders>
            <w:shd w:val="clear" w:color="auto" w:fill="auto"/>
            <w:noWrap/>
            <w:hideMark/>
          </w:tcPr>
          <w:p w:rsidR="00683505" w:rsidRPr="00EB3701" w:rsidRDefault="00683505" w:rsidP="005A2454">
            <w:pPr>
              <w:rPr>
                <w:color w:val="FF0000"/>
                <w:sz w:val="20"/>
                <w:szCs w:val="20"/>
                <w:lang w:val="nl-NL"/>
              </w:rPr>
            </w:pPr>
          </w:p>
        </w:tc>
        <w:tc>
          <w:tcPr>
            <w:tcW w:w="869" w:type="pct"/>
            <w:tcBorders>
              <w:top w:val="nil"/>
              <w:left w:val="nil"/>
              <w:bottom w:val="nil"/>
              <w:right w:val="nil"/>
            </w:tcBorders>
            <w:shd w:val="clear" w:color="auto" w:fill="auto"/>
            <w:noWrap/>
            <w:hideMark/>
          </w:tcPr>
          <w:p w:rsidR="00683505" w:rsidRPr="00EB3701" w:rsidRDefault="00683505" w:rsidP="005A2454">
            <w:pPr>
              <w:rPr>
                <w:rFonts w:ascii="Calibri" w:hAnsi="Calibri"/>
                <w:color w:val="000000"/>
                <w:sz w:val="22"/>
                <w:szCs w:val="22"/>
                <w:lang w:val="nl-NL"/>
              </w:rPr>
            </w:pPr>
          </w:p>
        </w:tc>
        <w:tc>
          <w:tcPr>
            <w:tcW w:w="641" w:type="pct"/>
            <w:tcBorders>
              <w:top w:val="nil"/>
              <w:left w:val="nil"/>
              <w:bottom w:val="nil"/>
              <w:right w:val="nil"/>
            </w:tcBorders>
            <w:shd w:val="clear" w:color="auto" w:fill="auto"/>
            <w:noWrap/>
            <w:hideMark/>
          </w:tcPr>
          <w:p w:rsidR="00683505" w:rsidRPr="00EB3701" w:rsidRDefault="00683505" w:rsidP="005A2454">
            <w:pPr>
              <w:rPr>
                <w:rFonts w:ascii="Calibri" w:hAnsi="Calibri"/>
                <w:color w:val="000000"/>
                <w:sz w:val="22"/>
                <w:szCs w:val="22"/>
                <w:lang w:val="nl-NL"/>
              </w:rPr>
            </w:pPr>
          </w:p>
        </w:tc>
        <w:tc>
          <w:tcPr>
            <w:tcW w:w="641" w:type="pct"/>
            <w:tcBorders>
              <w:top w:val="nil"/>
              <w:left w:val="nil"/>
              <w:bottom w:val="nil"/>
              <w:right w:val="nil"/>
            </w:tcBorders>
            <w:shd w:val="clear" w:color="auto" w:fill="auto"/>
            <w:noWrap/>
            <w:hideMark/>
          </w:tcPr>
          <w:p w:rsidR="00683505" w:rsidRPr="00EB3701" w:rsidRDefault="00683505" w:rsidP="005A2454">
            <w:pPr>
              <w:rPr>
                <w:rFonts w:ascii="Verdana" w:hAnsi="Verdana"/>
                <w:sz w:val="17"/>
                <w:szCs w:val="17"/>
                <w:lang w:val="nl-NL"/>
              </w:rPr>
            </w:pPr>
          </w:p>
        </w:tc>
        <w:tc>
          <w:tcPr>
            <w:tcW w:w="641" w:type="pct"/>
            <w:tcBorders>
              <w:top w:val="nil"/>
              <w:left w:val="nil"/>
              <w:bottom w:val="nil"/>
              <w:right w:val="nil"/>
            </w:tcBorders>
            <w:shd w:val="clear" w:color="auto" w:fill="auto"/>
            <w:noWrap/>
            <w:hideMark/>
          </w:tcPr>
          <w:p w:rsidR="00683505" w:rsidRPr="00EB3701" w:rsidRDefault="00683505" w:rsidP="005A2454">
            <w:pPr>
              <w:rPr>
                <w:rFonts w:ascii="Verdana" w:hAnsi="Verdana"/>
                <w:color w:val="FF0000"/>
                <w:sz w:val="17"/>
                <w:szCs w:val="17"/>
                <w:lang w:val="nl-NL"/>
              </w:rPr>
            </w:pPr>
          </w:p>
        </w:tc>
      </w:tr>
      <w:tr w:rsidR="00683505" w:rsidRPr="00EB3701" w:rsidTr="005A2454">
        <w:trPr>
          <w:trHeight w:val="210"/>
        </w:trPr>
        <w:tc>
          <w:tcPr>
            <w:tcW w:w="2207" w:type="pct"/>
            <w:gridSpan w:val="3"/>
            <w:tcBorders>
              <w:top w:val="nil"/>
              <w:left w:val="nil"/>
              <w:bottom w:val="nil"/>
              <w:right w:val="nil"/>
            </w:tcBorders>
            <w:shd w:val="clear" w:color="auto" w:fill="auto"/>
            <w:noWrap/>
            <w:vAlign w:val="center"/>
            <w:hideMark/>
          </w:tcPr>
          <w:p w:rsidR="00683505" w:rsidRPr="00EB3701" w:rsidRDefault="00683505" w:rsidP="005A2454">
            <w:pPr>
              <w:rPr>
                <w:rFonts w:ascii="Verdana" w:hAnsi="Verdana"/>
                <w:b/>
                <w:bCs/>
                <w:color w:val="000000"/>
                <w:sz w:val="16"/>
                <w:szCs w:val="16"/>
                <w:lang w:val="nl-NL"/>
              </w:rPr>
            </w:pPr>
            <w:r w:rsidRPr="00EB3701">
              <w:rPr>
                <w:rFonts w:ascii="Verdana" w:hAnsi="Verdana"/>
                <w:b/>
                <w:bCs/>
                <w:color w:val="000000"/>
                <w:sz w:val="16"/>
                <w:szCs w:val="16"/>
                <w:lang w:val="nl-NL"/>
              </w:rPr>
              <w:t>Subsidies</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72.516</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41.508</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sz w:val="17"/>
                <w:szCs w:val="17"/>
                <w:lang w:val="nl-NL"/>
              </w:rPr>
            </w:pPr>
            <w:r w:rsidRPr="00EB3701">
              <w:rPr>
                <w:rFonts w:ascii="Verdana" w:hAnsi="Verdana"/>
                <w:b/>
                <w:bCs/>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7"/>
                <w:szCs w:val="17"/>
                <w:lang w:val="nl-NL"/>
              </w:rPr>
            </w:pPr>
            <w:r w:rsidRPr="00EB3701">
              <w:rPr>
                <w:rFonts w:ascii="Verdana" w:hAnsi="Verdana"/>
                <w:b/>
                <w:bCs/>
                <w:color w:val="000000"/>
                <w:sz w:val="17"/>
                <w:szCs w:val="17"/>
                <w:lang w:val="nl-NL"/>
              </w:rPr>
              <w:t>41.508</w:t>
            </w:r>
          </w:p>
        </w:tc>
      </w:tr>
      <w:tr w:rsidR="00683505" w:rsidRPr="00EB3701" w:rsidTr="005A2454">
        <w:trPr>
          <w:trHeight w:val="255"/>
        </w:trPr>
        <w:tc>
          <w:tcPr>
            <w:tcW w:w="167" w:type="pct"/>
            <w:tcBorders>
              <w:top w:val="nil"/>
              <w:left w:val="nil"/>
              <w:bottom w:val="nil"/>
              <w:right w:val="nil"/>
            </w:tcBorders>
            <w:shd w:val="clear" w:color="auto" w:fill="auto"/>
            <w:noWrap/>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w:t>
            </w:r>
          </w:p>
        </w:tc>
        <w:tc>
          <w:tcPr>
            <w:tcW w:w="1912" w:type="pct"/>
            <w:tcBorders>
              <w:top w:val="nil"/>
              <w:left w:val="nil"/>
              <w:bottom w:val="nil"/>
              <w:right w:val="nil"/>
            </w:tcBorders>
            <w:shd w:val="clear" w:color="auto" w:fill="auto"/>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Verbreden inzet cultuur</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8.687</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8.987</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8.987</w:t>
            </w:r>
          </w:p>
        </w:tc>
      </w:tr>
      <w:tr w:rsidR="00683505" w:rsidRPr="00EB3701" w:rsidTr="005A2454">
        <w:trPr>
          <w:trHeight w:val="420"/>
        </w:trPr>
        <w:tc>
          <w:tcPr>
            <w:tcW w:w="167" w:type="pct"/>
            <w:tcBorders>
              <w:top w:val="nil"/>
              <w:left w:val="nil"/>
              <w:bottom w:val="nil"/>
              <w:right w:val="nil"/>
            </w:tcBorders>
            <w:shd w:val="clear" w:color="auto" w:fill="auto"/>
            <w:noWrap/>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w:t>
            </w:r>
          </w:p>
        </w:tc>
        <w:tc>
          <w:tcPr>
            <w:tcW w:w="1912" w:type="pct"/>
            <w:tcBorders>
              <w:top w:val="nil"/>
              <w:left w:val="nil"/>
              <w:bottom w:val="nil"/>
              <w:right w:val="nil"/>
            </w:tcBorders>
            <w:shd w:val="clear" w:color="auto" w:fill="auto"/>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Internationaal cultuurbeleid (incl. HGIS)</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7.323</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7.355</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7.355</w:t>
            </w:r>
          </w:p>
        </w:tc>
      </w:tr>
      <w:tr w:rsidR="00683505" w:rsidRPr="00EB3701" w:rsidTr="005A2454">
        <w:trPr>
          <w:trHeight w:val="285"/>
        </w:trPr>
        <w:tc>
          <w:tcPr>
            <w:tcW w:w="167" w:type="pct"/>
            <w:tcBorders>
              <w:top w:val="nil"/>
              <w:left w:val="nil"/>
              <w:bottom w:val="nil"/>
              <w:right w:val="nil"/>
            </w:tcBorders>
            <w:shd w:val="clear" w:color="auto" w:fill="auto"/>
            <w:noWrap/>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w:t>
            </w:r>
          </w:p>
        </w:tc>
        <w:tc>
          <w:tcPr>
            <w:tcW w:w="1912" w:type="pct"/>
            <w:tcBorders>
              <w:top w:val="nil"/>
              <w:left w:val="nil"/>
              <w:bottom w:val="nil"/>
              <w:right w:val="nil"/>
            </w:tcBorders>
            <w:shd w:val="clear" w:color="auto" w:fill="auto"/>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Programma bibliotheekvernieuwing</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25.942</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48</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48</w:t>
            </w:r>
          </w:p>
        </w:tc>
      </w:tr>
      <w:tr w:rsidR="00683505" w:rsidRPr="00EB3701" w:rsidTr="005A2454">
        <w:trPr>
          <w:trHeight w:val="255"/>
        </w:trPr>
        <w:tc>
          <w:tcPr>
            <w:tcW w:w="167" w:type="pct"/>
            <w:tcBorders>
              <w:top w:val="nil"/>
              <w:left w:val="nil"/>
              <w:bottom w:val="nil"/>
              <w:right w:val="nil"/>
            </w:tcBorders>
            <w:shd w:val="clear" w:color="auto" w:fill="auto"/>
            <w:noWrap/>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w:t>
            </w:r>
          </w:p>
        </w:tc>
        <w:tc>
          <w:tcPr>
            <w:tcW w:w="1912" w:type="pct"/>
            <w:tcBorders>
              <w:top w:val="nil"/>
              <w:left w:val="nil"/>
              <w:bottom w:val="nil"/>
              <w:right w:val="nil"/>
            </w:tcBorders>
            <w:shd w:val="clear" w:color="auto" w:fill="auto"/>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Programma leesbevordering</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2.850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2.850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2.850</w:t>
            </w:r>
          </w:p>
        </w:tc>
      </w:tr>
      <w:tr w:rsidR="00683505" w:rsidRPr="00EB3701" w:rsidTr="005A2454">
        <w:trPr>
          <w:trHeight w:val="255"/>
        </w:trPr>
        <w:tc>
          <w:tcPr>
            <w:tcW w:w="167" w:type="pct"/>
            <w:tcBorders>
              <w:top w:val="nil"/>
              <w:left w:val="nil"/>
              <w:bottom w:val="nil"/>
              <w:right w:val="nil"/>
            </w:tcBorders>
            <w:shd w:val="clear" w:color="auto" w:fill="auto"/>
            <w:noWrap/>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w:t>
            </w:r>
          </w:p>
        </w:tc>
        <w:tc>
          <w:tcPr>
            <w:tcW w:w="1912" w:type="pct"/>
            <w:tcBorders>
              <w:top w:val="nil"/>
              <w:left w:val="nil"/>
              <w:bottom w:val="nil"/>
              <w:right w:val="nil"/>
            </w:tcBorders>
            <w:shd w:val="clear" w:color="auto" w:fill="auto"/>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Programma CRISP</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0</w:t>
            </w:r>
          </w:p>
        </w:tc>
      </w:tr>
      <w:tr w:rsidR="00683505" w:rsidRPr="00EB3701" w:rsidTr="005A2454">
        <w:trPr>
          <w:trHeight w:val="315"/>
        </w:trPr>
        <w:tc>
          <w:tcPr>
            <w:tcW w:w="167" w:type="pct"/>
            <w:tcBorders>
              <w:top w:val="nil"/>
              <w:left w:val="nil"/>
              <w:bottom w:val="nil"/>
              <w:right w:val="nil"/>
            </w:tcBorders>
            <w:shd w:val="clear" w:color="auto" w:fill="auto"/>
            <w:noWrap/>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w:t>
            </w:r>
          </w:p>
        </w:tc>
        <w:tc>
          <w:tcPr>
            <w:tcW w:w="1912" w:type="pct"/>
            <w:tcBorders>
              <w:top w:val="nil"/>
              <w:left w:val="nil"/>
              <w:bottom w:val="nil"/>
              <w:right w:val="nil"/>
            </w:tcBorders>
            <w:shd w:val="clear" w:color="auto" w:fill="auto"/>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Programma erfgoed en ruimte</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8.000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6.200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6.200</w:t>
            </w:r>
          </w:p>
        </w:tc>
      </w:tr>
      <w:tr w:rsidR="00683505" w:rsidRPr="00EB3701" w:rsidTr="005A2454">
        <w:trPr>
          <w:trHeight w:val="330"/>
        </w:trPr>
        <w:tc>
          <w:tcPr>
            <w:tcW w:w="167" w:type="pct"/>
            <w:tcBorders>
              <w:top w:val="nil"/>
              <w:left w:val="nil"/>
              <w:bottom w:val="nil"/>
              <w:right w:val="nil"/>
            </w:tcBorders>
            <w:shd w:val="clear" w:color="auto" w:fill="auto"/>
            <w:noWrap/>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w:t>
            </w:r>
          </w:p>
        </w:tc>
        <w:tc>
          <w:tcPr>
            <w:tcW w:w="1912" w:type="pct"/>
            <w:tcBorders>
              <w:top w:val="nil"/>
              <w:left w:val="nil"/>
              <w:bottom w:val="nil"/>
              <w:right w:val="nil"/>
            </w:tcBorders>
            <w:shd w:val="clear" w:color="auto" w:fill="auto"/>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Programma ondernemerschap</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1.737</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1.737</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1.737</w:t>
            </w:r>
          </w:p>
        </w:tc>
      </w:tr>
      <w:tr w:rsidR="00683505" w:rsidRPr="00EB3701" w:rsidTr="005A2454">
        <w:trPr>
          <w:trHeight w:val="255"/>
        </w:trPr>
        <w:tc>
          <w:tcPr>
            <w:tcW w:w="167" w:type="pct"/>
            <w:tcBorders>
              <w:top w:val="nil"/>
              <w:left w:val="nil"/>
              <w:bottom w:val="nil"/>
              <w:right w:val="nil"/>
            </w:tcBorders>
            <w:shd w:val="clear" w:color="auto" w:fill="auto"/>
            <w:noWrap/>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w:t>
            </w:r>
          </w:p>
        </w:tc>
        <w:tc>
          <w:tcPr>
            <w:tcW w:w="1912" w:type="pct"/>
            <w:tcBorders>
              <w:top w:val="nil"/>
              <w:left w:val="nil"/>
              <w:bottom w:val="nil"/>
              <w:right w:val="nil"/>
            </w:tcBorders>
            <w:shd w:val="clear" w:color="auto" w:fill="auto"/>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Specifiek cultuurbeleid</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17.977</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14.331</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14.331</w:t>
            </w:r>
          </w:p>
        </w:tc>
      </w:tr>
      <w:tr w:rsidR="00683505" w:rsidRPr="00EB3701" w:rsidTr="005A2454">
        <w:trPr>
          <w:trHeight w:val="458"/>
        </w:trPr>
        <w:tc>
          <w:tcPr>
            <w:tcW w:w="167" w:type="pct"/>
            <w:tcBorders>
              <w:top w:val="nil"/>
              <w:left w:val="nil"/>
              <w:bottom w:val="nil"/>
              <w:right w:val="nil"/>
            </w:tcBorders>
            <w:shd w:val="clear" w:color="auto" w:fill="auto"/>
            <w:noWrap/>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w:t>
            </w:r>
          </w:p>
        </w:tc>
        <w:tc>
          <w:tcPr>
            <w:tcW w:w="1912" w:type="pct"/>
            <w:tcBorders>
              <w:top w:val="nil"/>
              <w:left w:val="nil"/>
              <w:bottom w:val="nil"/>
              <w:right w:val="nil"/>
            </w:tcBorders>
            <w:shd w:val="clear" w:color="auto" w:fill="auto"/>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Regeling frictie- en transitiekosten culturele basisinfrastructuur 2009-2012</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0</w:t>
            </w:r>
          </w:p>
        </w:tc>
      </w:tr>
      <w:tr w:rsidR="00683505" w:rsidRPr="00EB3701" w:rsidTr="005A2454">
        <w:trPr>
          <w:trHeight w:val="180"/>
        </w:trPr>
        <w:tc>
          <w:tcPr>
            <w:tcW w:w="2207" w:type="pct"/>
            <w:gridSpan w:val="3"/>
            <w:tcBorders>
              <w:top w:val="nil"/>
              <w:left w:val="nil"/>
              <w:bottom w:val="nil"/>
              <w:right w:val="nil"/>
            </w:tcBorders>
            <w:shd w:val="clear" w:color="auto" w:fill="auto"/>
            <w:noWrap/>
            <w:hideMark/>
          </w:tcPr>
          <w:p w:rsidR="00683505" w:rsidRPr="00EB3701" w:rsidRDefault="00683505" w:rsidP="005A2454">
            <w:pPr>
              <w:rPr>
                <w:color w:val="000000"/>
                <w:sz w:val="20"/>
                <w:szCs w:val="20"/>
                <w:lang w:val="nl-NL"/>
              </w:rPr>
            </w:pPr>
          </w:p>
        </w:tc>
        <w:tc>
          <w:tcPr>
            <w:tcW w:w="869" w:type="pct"/>
            <w:tcBorders>
              <w:top w:val="nil"/>
              <w:left w:val="nil"/>
              <w:bottom w:val="nil"/>
              <w:right w:val="nil"/>
            </w:tcBorders>
            <w:shd w:val="clear" w:color="auto" w:fill="auto"/>
            <w:noWrap/>
            <w:hideMark/>
          </w:tcPr>
          <w:p w:rsidR="00683505" w:rsidRPr="00EB3701" w:rsidRDefault="00683505" w:rsidP="005A2454">
            <w:pPr>
              <w:rPr>
                <w:rFonts w:ascii="Calibri" w:hAnsi="Calibri"/>
                <w:color w:val="000000"/>
                <w:sz w:val="22"/>
                <w:szCs w:val="22"/>
                <w:lang w:val="nl-NL"/>
              </w:rPr>
            </w:pPr>
          </w:p>
        </w:tc>
        <w:tc>
          <w:tcPr>
            <w:tcW w:w="641" w:type="pct"/>
            <w:tcBorders>
              <w:top w:val="nil"/>
              <w:left w:val="nil"/>
              <w:bottom w:val="nil"/>
              <w:right w:val="nil"/>
            </w:tcBorders>
            <w:shd w:val="clear" w:color="auto" w:fill="auto"/>
            <w:noWrap/>
            <w:hideMark/>
          </w:tcPr>
          <w:p w:rsidR="00683505" w:rsidRPr="00EB3701" w:rsidRDefault="00683505" w:rsidP="005A2454">
            <w:pPr>
              <w:rPr>
                <w:rFonts w:ascii="Calibri" w:hAnsi="Calibri"/>
                <w:color w:val="000000"/>
                <w:sz w:val="22"/>
                <w:szCs w:val="22"/>
                <w:lang w:val="nl-NL"/>
              </w:rPr>
            </w:pPr>
          </w:p>
        </w:tc>
        <w:tc>
          <w:tcPr>
            <w:tcW w:w="641" w:type="pct"/>
            <w:tcBorders>
              <w:top w:val="nil"/>
              <w:left w:val="nil"/>
              <w:bottom w:val="nil"/>
              <w:right w:val="nil"/>
            </w:tcBorders>
            <w:shd w:val="clear" w:color="auto" w:fill="auto"/>
            <w:noWrap/>
            <w:hideMark/>
          </w:tcPr>
          <w:p w:rsidR="00683505" w:rsidRPr="00EB3701" w:rsidRDefault="00683505" w:rsidP="005A2454">
            <w:pPr>
              <w:rPr>
                <w:rFonts w:ascii="Verdana" w:hAnsi="Verdana"/>
                <w:sz w:val="17"/>
                <w:szCs w:val="17"/>
                <w:lang w:val="nl-NL"/>
              </w:rPr>
            </w:pPr>
          </w:p>
        </w:tc>
        <w:tc>
          <w:tcPr>
            <w:tcW w:w="641" w:type="pct"/>
            <w:tcBorders>
              <w:top w:val="nil"/>
              <w:left w:val="nil"/>
              <w:bottom w:val="nil"/>
              <w:right w:val="nil"/>
            </w:tcBorders>
            <w:shd w:val="clear" w:color="auto" w:fill="auto"/>
            <w:noWrap/>
            <w:hideMark/>
          </w:tcPr>
          <w:p w:rsidR="00683505" w:rsidRPr="00EB3701" w:rsidRDefault="00683505" w:rsidP="005A2454">
            <w:pPr>
              <w:rPr>
                <w:rFonts w:ascii="Verdana" w:hAnsi="Verdana"/>
                <w:color w:val="000000"/>
                <w:sz w:val="17"/>
                <w:szCs w:val="17"/>
                <w:lang w:val="nl-NL"/>
              </w:rPr>
            </w:pPr>
          </w:p>
        </w:tc>
      </w:tr>
      <w:tr w:rsidR="00683505" w:rsidRPr="00EB3701" w:rsidTr="005A2454">
        <w:trPr>
          <w:trHeight w:val="210"/>
        </w:trPr>
        <w:tc>
          <w:tcPr>
            <w:tcW w:w="2207" w:type="pct"/>
            <w:gridSpan w:val="3"/>
            <w:tcBorders>
              <w:top w:val="nil"/>
              <w:left w:val="nil"/>
              <w:bottom w:val="nil"/>
              <w:right w:val="nil"/>
            </w:tcBorders>
            <w:shd w:val="clear" w:color="auto" w:fill="auto"/>
            <w:noWrap/>
            <w:vAlign w:val="center"/>
            <w:hideMark/>
          </w:tcPr>
          <w:p w:rsidR="00683505" w:rsidRPr="00EB3701" w:rsidRDefault="00683505" w:rsidP="005A2454">
            <w:pPr>
              <w:rPr>
                <w:rFonts w:ascii="Verdana" w:hAnsi="Verdana"/>
                <w:b/>
                <w:bCs/>
                <w:color w:val="000000"/>
                <w:sz w:val="16"/>
                <w:szCs w:val="16"/>
                <w:lang w:val="nl-NL"/>
              </w:rPr>
            </w:pPr>
            <w:r w:rsidRPr="00EB3701">
              <w:rPr>
                <w:rFonts w:ascii="Verdana" w:hAnsi="Verdana"/>
                <w:b/>
                <w:bCs/>
                <w:color w:val="000000"/>
                <w:sz w:val="16"/>
                <w:szCs w:val="16"/>
                <w:lang w:val="nl-NL"/>
              </w:rPr>
              <w:t>Opdrachten</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4.062</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4.550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sz w:val="17"/>
                <w:szCs w:val="17"/>
                <w:lang w:val="nl-NL"/>
              </w:rPr>
            </w:pPr>
            <w:r w:rsidRPr="00EB3701">
              <w:rPr>
                <w:rFonts w:ascii="Verdana" w:hAnsi="Verdana"/>
                <w:b/>
                <w:bCs/>
                <w:sz w:val="17"/>
                <w:szCs w:val="17"/>
                <w:lang w:val="nl-NL"/>
              </w:rPr>
              <w:t>80.000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7"/>
                <w:szCs w:val="17"/>
                <w:lang w:val="nl-NL"/>
              </w:rPr>
            </w:pPr>
            <w:r w:rsidRPr="00EB3701">
              <w:rPr>
                <w:rFonts w:ascii="Verdana" w:hAnsi="Verdana"/>
                <w:b/>
                <w:bCs/>
                <w:color w:val="000000"/>
                <w:sz w:val="17"/>
                <w:szCs w:val="17"/>
                <w:lang w:val="nl-NL"/>
              </w:rPr>
              <w:t>84.550</w:t>
            </w:r>
          </w:p>
        </w:tc>
      </w:tr>
      <w:tr w:rsidR="00683505" w:rsidRPr="00EB3701" w:rsidTr="005A2454">
        <w:trPr>
          <w:trHeight w:val="420"/>
        </w:trPr>
        <w:tc>
          <w:tcPr>
            <w:tcW w:w="167" w:type="pct"/>
            <w:tcBorders>
              <w:top w:val="nil"/>
              <w:left w:val="nil"/>
              <w:bottom w:val="nil"/>
              <w:right w:val="nil"/>
            </w:tcBorders>
            <w:shd w:val="clear" w:color="auto" w:fill="auto"/>
            <w:noWrap/>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w:t>
            </w:r>
          </w:p>
        </w:tc>
        <w:tc>
          <w:tcPr>
            <w:tcW w:w="1912" w:type="pct"/>
            <w:tcBorders>
              <w:top w:val="nil"/>
              <w:left w:val="nil"/>
              <w:bottom w:val="nil"/>
              <w:right w:val="nil"/>
            </w:tcBorders>
            <w:shd w:val="clear" w:color="auto" w:fill="auto"/>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Beleidsonderzoek, evaluaties en kennisbasis</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4.062</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4.550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80.000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84.550</w:t>
            </w:r>
          </w:p>
        </w:tc>
      </w:tr>
      <w:tr w:rsidR="00683505" w:rsidRPr="00EB3701" w:rsidTr="005A2454">
        <w:trPr>
          <w:trHeight w:val="300"/>
        </w:trPr>
        <w:tc>
          <w:tcPr>
            <w:tcW w:w="2207" w:type="pct"/>
            <w:gridSpan w:val="3"/>
            <w:tcBorders>
              <w:top w:val="nil"/>
              <w:left w:val="nil"/>
              <w:bottom w:val="nil"/>
              <w:right w:val="nil"/>
            </w:tcBorders>
            <w:shd w:val="clear" w:color="auto" w:fill="auto"/>
            <w:noWrap/>
            <w:hideMark/>
          </w:tcPr>
          <w:p w:rsidR="00683505" w:rsidRPr="00EB3701" w:rsidRDefault="00683505" w:rsidP="005A2454">
            <w:pPr>
              <w:rPr>
                <w:color w:val="000000"/>
                <w:sz w:val="20"/>
                <w:szCs w:val="20"/>
                <w:lang w:val="nl-NL"/>
              </w:rPr>
            </w:pPr>
          </w:p>
        </w:tc>
        <w:tc>
          <w:tcPr>
            <w:tcW w:w="869" w:type="pct"/>
            <w:tcBorders>
              <w:top w:val="nil"/>
              <w:left w:val="nil"/>
              <w:bottom w:val="nil"/>
              <w:right w:val="nil"/>
            </w:tcBorders>
            <w:shd w:val="clear" w:color="auto" w:fill="auto"/>
            <w:noWrap/>
            <w:hideMark/>
          </w:tcPr>
          <w:p w:rsidR="00683505" w:rsidRPr="00EB3701" w:rsidRDefault="00683505" w:rsidP="005A2454">
            <w:pPr>
              <w:rPr>
                <w:rFonts w:ascii="Calibri" w:hAnsi="Calibri"/>
                <w:color w:val="000000"/>
                <w:sz w:val="22"/>
                <w:szCs w:val="22"/>
                <w:lang w:val="nl-NL"/>
              </w:rPr>
            </w:pPr>
          </w:p>
        </w:tc>
        <w:tc>
          <w:tcPr>
            <w:tcW w:w="641" w:type="pct"/>
            <w:tcBorders>
              <w:top w:val="nil"/>
              <w:left w:val="nil"/>
              <w:bottom w:val="nil"/>
              <w:right w:val="nil"/>
            </w:tcBorders>
            <w:shd w:val="clear" w:color="auto" w:fill="auto"/>
            <w:noWrap/>
            <w:hideMark/>
          </w:tcPr>
          <w:p w:rsidR="00683505" w:rsidRPr="00EB3701" w:rsidRDefault="00683505" w:rsidP="005A2454">
            <w:pPr>
              <w:rPr>
                <w:rFonts w:ascii="Calibri" w:hAnsi="Calibri"/>
                <w:color w:val="000000"/>
                <w:sz w:val="22"/>
                <w:szCs w:val="22"/>
                <w:lang w:val="nl-NL"/>
              </w:rPr>
            </w:pPr>
          </w:p>
        </w:tc>
        <w:tc>
          <w:tcPr>
            <w:tcW w:w="641" w:type="pct"/>
            <w:tcBorders>
              <w:top w:val="nil"/>
              <w:left w:val="nil"/>
              <w:bottom w:val="nil"/>
              <w:right w:val="nil"/>
            </w:tcBorders>
            <w:shd w:val="clear" w:color="auto" w:fill="auto"/>
            <w:noWrap/>
            <w:hideMark/>
          </w:tcPr>
          <w:p w:rsidR="00683505" w:rsidRPr="00EB3701" w:rsidRDefault="00683505" w:rsidP="005A2454">
            <w:pPr>
              <w:rPr>
                <w:rFonts w:ascii="Verdana" w:hAnsi="Verdana"/>
                <w:sz w:val="17"/>
                <w:szCs w:val="17"/>
                <w:lang w:val="nl-NL"/>
              </w:rPr>
            </w:pPr>
          </w:p>
        </w:tc>
        <w:tc>
          <w:tcPr>
            <w:tcW w:w="641" w:type="pct"/>
            <w:tcBorders>
              <w:top w:val="nil"/>
              <w:left w:val="nil"/>
              <w:bottom w:val="nil"/>
              <w:right w:val="nil"/>
            </w:tcBorders>
            <w:shd w:val="clear" w:color="auto" w:fill="auto"/>
            <w:noWrap/>
            <w:hideMark/>
          </w:tcPr>
          <w:p w:rsidR="00683505" w:rsidRPr="00EB3701" w:rsidRDefault="00683505" w:rsidP="005A2454">
            <w:pPr>
              <w:rPr>
                <w:rFonts w:ascii="Verdana" w:hAnsi="Verdana"/>
                <w:color w:val="000000"/>
                <w:sz w:val="17"/>
                <w:szCs w:val="17"/>
                <w:lang w:val="nl-NL"/>
              </w:rPr>
            </w:pPr>
          </w:p>
        </w:tc>
      </w:tr>
      <w:tr w:rsidR="00683505" w:rsidRPr="00EB3701" w:rsidTr="005A2454">
        <w:trPr>
          <w:trHeight w:val="210"/>
        </w:trPr>
        <w:tc>
          <w:tcPr>
            <w:tcW w:w="2207" w:type="pct"/>
            <w:gridSpan w:val="3"/>
            <w:tcBorders>
              <w:top w:val="nil"/>
              <w:left w:val="nil"/>
              <w:bottom w:val="nil"/>
              <w:right w:val="nil"/>
            </w:tcBorders>
            <w:shd w:val="clear" w:color="auto" w:fill="auto"/>
            <w:noWrap/>
            <w:vAlign w:val="center"/>
            <w:hideMark/>
          </w:tcPr>
          <w:p w:rsidR="00683505" w:rsidRPr="00EB3701" w:rsidRDefault="00683505" w:rsidP="005A2454">
            <w:pPr>
              <w:rPr>
                <w:rFonts w:ascii="Verdana" w:hAnsi="Verdana"/>
                <w:b/>
                <w:bCs/>
                <w:color w:val="000000"/>
                <w:sz w:val="16"/>
                <w:szCs w:val="16"/>
                <w:lang w:val="nl-NL"/>
              </w:rPr>
            </w:pPr>
            <w:r w:rsidRPr="00EB3701">
              <w:rPr>
                <w:rFonts w:ascii="Verdana" w:hAnsi="Verdana"/>
                <w:b/>
                <w:bCs/>
                <w:color w:val="000000"/>
                <w:sz w:val="16"/>
                <w:szCs w:val="16"/>
                <w:lang w:val="nl-NL"/>
              </w:rPr>
              <w:t>Bijdragen aan agentschappen</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39.710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43.405</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sz w:val="17"/>
                <w:szCs w:val="17"/>
                <w:lang w:val="nl-NL"/>
              </w:rPr>
            </w:pPr>
            <w:r w:rsidRPr="00EB3701">
              <w:rPr>
                <w:rFonts w:ascii="Verdana" w:hAnsi="Verdana"/>
                <w:b/>
                <w:bCs/>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7"/>
                <w:szCs w:val="17"/>
                <w:lang w:val="nl-NL"/>
              </w:rPr>
            </w:pPr>
            <w:r w:rsidRPr="00EB3701">
              <w:rPr>
                <w:rFonts w:ascii="Verdana" w:hAnsi="Verdana"/>
                <w:b/>
                <w:bCs/>
                <w:color w:val="000000"/>
                <w:sz w:val="17"/>
                <w:szCs w:val="17"/>
                <w:lang w:val="nl-NL"/>
              </w:rPr>
              <w:t>43.405</w:t>
            </w:r>
          </w:p>
        </w:tc>
      </w:tr>
      <w:tr w:rsidR="00683505" w:rsidRPr="00EB3701" w:rsidTr="005A2454">
        <w:trPr>
          <w:trHeight w:val="255"/>
        </w:trPr>
        <w:tc>
          <w:tcPr>
            <w:tcW w:w="167" w:type="pct"/>
            <w:tcBorders>
              <w:top w:val="nil"/>
              <w:left w:val="nil"/>
              <w:bottom w:val="nil"/>
              <w:right w:val="nil"/>
            </w:tcBorders>
            <w:shd w:val="clear" w:color="auto" w:fill="auto"/>
            <w:noWrap/>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vAlign w:val="center"/>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w:t>
            </w:r>
          </w:p>
        </w:tc>
        <w:tc>
          <w:tcPr>
            <w:tcW w:w="1912" w:type="pct"/>
            <w:tcBorders>
              <w:top w:val="nil"/>
              <w:left w:val="nil"/>
              <w:bottom w:val="nil"/>
              <w:right w:val="nil"/>
            </w:tcBorders>
            <w:shd w:val="clear" w:color="auto" w:fill="auto"/>
            <w:noWrap/>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Nationaal Archief</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39.710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43.405</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43.405</w:t>
            </w:r>
          </w:p>
        </w:tc>
      </w:tr>
      <w:tr w:rsidR="00683505" w:rsidRPr="00EB3701" w:rsidTr="005A2454">
        <w:trPr>
          <w:trHeight w:val="210"/>
        </w:trPr>
        <w:tc>
          <w:tcPr>
            <w:tcW w:w="2207" w:type="pct"/>
            <w:gridSpan w:val="3"/>
            <w:tcBorders>
              <w:top w:val="nil"/>
              <w:left w:val="nil"/>
              <w:bottom w:val="nil"/>
              <w:right w:val="nil"/>
            </w:tcBorders>
            <w:shd w:val="clear" w:color="auto" w:fill="auto"/>
            <w:noWrap/>
            <w:hideMark/>
          </w:tcPr>
          <w:p w:rsidR="00683505" w:rsidRPr="00EB3701" w:rsidRDefault="00683505" w:rsidP="005A2454">
            <w:pPr>
              <w:rPr>
                <w:color w:val="000000"/>
                <w:sz w:val="20"/>
                <w:szCs w:val="20"/>
                <w:lang w:val="nl-NL"/>
              </w:rPr>
            </w:pPr>
          </w:p>
        </w:tc>
        <w:tc>
          <w:tcPr>
            <w:tcW w:w="869" w:type="pct"/>
            <w:tcBorders>
              <w:top w:val="nil"/>
              <w:left w:val="nil"/>
              <w:bottom w:val="nil"/>
              <w:right w:val="nil"/>
            </w:tcBorders>
            <w:shd w:val="clear" w:color="auto" w:fill="auto"/>
            <w:noWrap/>
            <w:hideMark/>
          </w:tcPr>
          <w:p w:rsidR="00683505" w:rsidRPr="00EB3701" w:rsidRDefault="00683505" w:rsidP="005A2454">
            <w:pPr>
              <w:rPr>
                <w:rFonts w:ascii="Calibri" w:hAnsi="Calibri"/>
                <w:color w:val="000000"/>
                <w:sz w:val="22"/>
                <w:szCs w:val="22"/>
                <w:lang w:val="nl-NL"/>
              </w:rPr>
            </w:pPr>
          </w:p>
        </w:tc>
        <w:tc>
          <w:tcPr>
            <w:tcW w:w="641" w:type="pct"/>
            <w:tcBorders>
              <w:top w:val="nil"/>
              <w:left w:val="nil"/>
              <w:bottom w:val="nil"/>
              <w:right w:val="nil"/>
            </w:tcBorders>
            <w:shd w:val="clear" w:color="auto" w:fill="auto"/>
            <w:noWrap/>
            <w:hideMark/>
          </w:tcPr>
          <w:p w:rsidR="00683505" w:rsidRPr="00EB3701" w:rsidRDefault="00683505" w:rsidP="005A2454">
            <w:pPr>
              <w:rPr>
                <w:rFonts w:ascii="Calibri" w:hAnsi="Calibri"/>
                <w:color w:val="000000"/>
                <w:sz w:val="22"/>
                <w:szCs w:val="22"/>
                <w:lang w:val="nl-NL"/>
              </w:rPr>
            </w:pPr>
          </w:p>
        </w:tc>
        <w:tc>
          <w:tcPr>
            <w:tcW w:w="641" w:type="pct"/>
            <w:tcBorders>
              <w:top w:val="nil"/>
              <w:left w:val="nil"/>
              <w:bottom w:val="nil"/>
              <w:right w:val="nil"/>
            </w:tcBorders>
            <w:shd w:val="clear" w:color="auto" w:fill="auto"/>
            <w:noWrap/>
            <w:hideMark/>
          </w:tcPr>
          <w:p w:rsidR="00683505" w:rsidRPr="00EB3701" w:rsidRDefault="00683505" w:rsidP="005A2454">
            <w:pPr>
              <w:rPr>
                <w:rFonts w:ascii="Verdana" w:hAnsi="Verdana"/>
                <w:sz w:val="17"/>
                <w:szCs w:val="17"/>
                <w:lang w:val="nl-NL"/>
              </w:rPr>
            </w:pPr>
          </w:p>
        </w:tc>
        <w:tc>
          <w:tcPr>
            <w:tcW w:w="641" w:type="pct"/>
            <w:tcBorders>
              <w:top w:val="nil"/>
              <w:left w:val="nil"/>
              <w:bottom w:val="nil"/>
              <w:right w:val="nil"/>
            </w:tcBorders>
            <w:shd w:val="clear" w:color="auto" w:fill="auto"/>
            <w:noWrap/>
            <w:hideMark/>
          </w:tcPr>
          <w:p w:rsidR="00683505" w:rsidRPr="00EB3701" w:rsidRDefault="00683505" w:rsidP="005A2454">
            <w:pPr>
              <w:rPr>
                <w:rFonts w:ascii="Verdana" w:hAnsi="Verdana"/>
                <w:color w:val="000000"/>
                <w:sz w:val="17"/>
                <w:szCs w:val="17"/>
                <w:lang w:val="nl-NL"/>
              </w:rPr>
            </w:pPr>
          </w:p>
        </w:tc>
      </w:tr>
      <w:tr w:rsidR="00683505" w:rsidRPr="00EB3701" w:rsidTr="005A2454">
        <w:trPr>
          <w:trHeight w:val="420"/>
        </w:trPr>
        <w:tc>
          <w:tcPr>
            <w:tcW w:w="2207" w:type="pct"/>
            <w:gridSpan w:val="3"/>
            <w:tcBorders>
              <w:top w:val="nil"/>
              <w:left w:val="nil"/>
              <w:bottom w:val="nil"/>
              <w:right w:val="nil"/>
            </w:tcBorders>
            <w:shd w:val="clear" w:color="auto" w:fill="auto"/>
            <w:vAlign w:val="center"/>
            <w:hideMark/>
          </w:tcPr>
          <w:p w:rsidR="00683505" w:rsidRPr="00EB3701" w:rsidRDefault="00683505" w:rsidP="005A2454">
            <w:pPr>
              <w:rPr>
                <w:rFonts w:ascii="Verdana" w:hAnsi="Verdana"/>
                <w:b/>
                <w:bCs/>
                <w:color w:val="000000"/>
                <w:sz w:val="16"/>
                <w:szCs w:val="16"/>
                <w:lang w:val="nl-NL"/>
              </w:rPr>
            </w:pPr>
            <w:r w:rsidRPr="00EB3701">
              <w:rPr>
                <w:rFonts w:ascii="Verdana" w:hAnsi="Verdana"/>
                <w:b/>
                <w:bCs/>
                <w:color w:val="000000"/>
                <w:sz w:val="16"/>
                <w:szCs w:val="16"/>
                <w:lang w:val="nl-NL"/>
              </w:rPr>
              <w:t>Bijdragen aan (</w:t>
            </w:r>
            <w:proofErr w:type="spellStart"/>
            <w:r w:rsidRPr="00EB3701">
              <w:rPr>
                <w:rFonts w:ascii="Verdana" w:hAnsi="Verdana"/>
                <w:b/>
                <w:bCs/>
                <w:color w:val="000000"/>
                <w:sz w:val="16"/>
                <w:szCs w:val="16"/>
                <w:lang w:val="nl-NL"/>
              </w:rPr>
              <w:t>inter</w:t>
            </w:r>
            <w:proofErr w:type="spellEnd"/>
            <w:r w:rsidRPr="00EB3701">
              <w:rPr>
                <w:rFonts w:ascii="Verdana" w:hAnsi="Verdana"/>
                <w:b/>
                <w:bCs/>
                <w:color w:val="000000"/>
                <w:sz w:val="16"/>
                <w:szCs w:val="16"/>
                <w:lang w:val="nl-NL"/>
              </w:rPr>
              <w:t>-)nationale organisaties</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3.245</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3.366</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sz w:val="17"/>
                <w:szCs w:val="17"/>
                <w:lang w:val="nl-NL"/>
              </w:rPr>
            </w:pPr>
            <w:r w:rsidRPr="00EB3701">
              <w:rPr>
                <w:rFonts w:ascii="Verdana" w:hAnsi="Verdana"/>
                <w:b/>
                <w:bCs/>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7"/>
                <w:szCs w:val="17"/>
                <w:lang w:val="nl-NL"/>
              </w:rPr>
            </w:pPr>
            <w:r w:rsidRPr="00EB3701">
              <w:rPr>
                <w:rFonts w:ascii="Verdana" w:hAnsi="Verdana"/>
                <w:b/>
                <w:bCs/>
                <w:color w:val="000000"/>
                <w:sz w:val="17"/>
                <w:szCs w:val="17"/>
                <w:lang w:val="nl-NL"/>
              </w:rPr>
              <w:t>3.366</w:t>
            </w:r>
          </w:p>
        </w:tc>
      </w:tr>
      <w:tr w:rsidR="00683505" w:rsidRPr="00EB3701" w:rsidTr="005A2454">
        <w:trPr>
          <w:trHeight w:val="287"/>
        </w:trPr>
        <w:tc>
          <w:tcPr>
            <w:tcW w:w="167" w:type="pct"/>
            <w:tcBorders>
              <w:top w:val="nil"/>
              <w:left w:val="nil"/>
              <w:bottom w:val="nil"/>
              <w:right w:val="nil"/>
            </w:tcBorders>
            <w:shd w:val="clear" w:color="auto" w:fill="auto"/>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w:t>
            </w:r>
          </w:p>
        </w:tc>
        <w:tc>
          <w:tcPr>
            <w:tcW w:w="1912" w:type="pct"/>
            <w:tcBorders>
              <w:top w:val="nil"/>
              <w:left w:val="nil"/>
              <w:bottom w:val="nil"/>
              <w:right w:val="nil"/>
            </w:tcBorders>
            <w:shd w:val="clear" w:color="auto" w:fill="auto"/>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 xml:space="preserve">Uitvoering internationale verdragen </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2.310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2.365</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2.365</w:t>
            </w:r>
          </w:p>
        </w:tc>
      </w:tr>
      <w:tr w:rsidR="00683505" w:rsidRPr="00EB3701" w:rsidTr="005A2454">
        <w:trPr>
          <w:trHeight w:val="293"/>
        </w:trPr>
        <w:tc>
          <w:tcPr>
            <w:tcW w:w="167" w:type="pct"/>
            <w:tcBorders>
              <w:top w:val="nil"/>
              <w:left w:val="nil"/>
              <w:bottom w:val="nil"/>
              <w:right w:val="nil"/>
            </w:tcBorders>
            <w:shd w:val="clear" w:color="auto" w:fill="auto"/>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w:t>
            </w:r>
          </w:p>
        </w:tc>
        <w:tc>
          <w:tcPr>
            <w:tcW w:w="1912" w:type="pct"/>
            <w:tcBorders>
              <w:top w:val="nil"/>
              <w:left w:val="nil"/>
              <w:bottom w:val="nil"/>
              <w:right w:val="nil"/>
            </w:tcBorders>
            <w:shd w:val="clear" w:color="auto" w:fill="auto"/>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Uitvoering internationale contributies</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875</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941</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941</w:t>
            </w:r>
          </w:p>
        </w:tc>
      </w:tr>
      <w:tr w:rsidR="00683505" w:rsidRPr="00EB3701" w:rsidTr="005A2454">
        <w:trPr>
          <w:trHeight w:val="255"/>
        </w:trPr>
        <w:tc>
          <w:tcPr>
            <w:tcW w:w="167" w:type="pct"/>
            <w:tcBorders>
              <w:top w:val="nil"/>
              <w:left w:val="nil"/>
              <w:bottom w:val="nil"/>
              <w:right w:val="nil"/>
            </w:tcBorders>
            <w:shd w:val="clear" w:color="auto" w:fill="auto"/>
            <w:noWrap/>
            <w:hideMark/>
          </w:tcPr>
          <w:p w:rsidR="00683505" w:rsidRPr="00EB3701" w:rsidRDefault="00683505" w:rsidP="005A2454">
            <w:pPr>
              <w:rPr>
                <w:color w:val="000000"/>
                <w:sz w:val="20"/>
                <w:szCs w:val="20"/>
                <w:lang w:val="nl-NL"/>
              </w:rPr>
            </w:pPr>
          </w:p>
        </w:tc>
        <w:tc>
          <w:tcPr>
            <w:tcW w:w="128"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w:t>
            </w:r>
          </w:p>
        </w:tc>
        <w:tc>
          <w:tcPr>
            <w:tcW w:w="1912" w:type="pct"/>
            <w:tcBorders>
              <w:top w:val="nil"/>
              <w:left w:val="nil"/>
              <w:bottom w:val="nil"/>
              <w:right w:val="nil"/>
            </w:tcBorders>
            <w:shd w:val="clear" w:color="auto" w:fill="auto"/>
            <w:noWrap/>
            <w:vAlign w:val="center"/>
            <w:hideMark/>
          </w:tcPr>
          <w:p w:rsidR="00683505" w:rsidRPr="00EB3701" w:rsidRDefault="00683505" w:rsidP="005A2454">
            <w:pPr>
              <w:rPr>
                <w:rFonts w:ascii="Verdana" w:hAnsi="Verdana"/>
                <w:color w:val="000000"/>
                <w:sz w:val="16"/>
                <w:szCs w:val="16"/>
                <w:lang w:val="nl-NL"/>
              </w:rPr>
            </w:pPr>
            <w:r w:rsidRPr="00EB3701">
              <w:rPr>
                <w:rFonts w:ascii="Verdana" w:hAnsi="Verdana"/>
                <w:color w:val="000000"/>
                <w:sz w:val="16"/>
                <w:szCs w:val="16"/>
                <w:lang w:val="nl-NL"/>
              </w:rPr>
              <w:t>Europese samenwerking</w:t>
            </w:r>
          </w:p>
        </w:tc>
        <w:tc>
          <w:tcPr>
            <w:tcW w:w="869"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60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6"/>
                <w:szCs w:val="16"/>
                <w:lang w:val="nl-NL"/>
              </w:rPr>
            </w:pPr>
            <w:r w:rsidRPr="00EB3701">
              <w:rPr>
                <w:rFonts w:ascii="Verdana" w:hAnsi="Verdana"/>
                <w:color w:val="000000"/>
                <w:sz w:val="16"/>
                <w:szCs w:val="16"/>
                <w:lang w:val="nl-NL"/>
              </w:rPr>
              <w:t>60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sz w:val="17"/>
                <w:szCs w:val="17"/>
                <w:lang w:val="nl-NL"/>
              </w:rPr>
            </w:pPr>
            <w:r w:rsidRPr="00EB3701">
              <w:rPr>
                <w:rFonts w:ascii="Verdana" w:hAnsi="Verdana"/>
                <w:sz w:val="17"/>
                <w:szCs w:val="17"/>
                <w:lang w:val="nl-NL"/>
              </w:rPr>
              <w:t>0</w:t>
            </w:r>
          </w:p>
        </w:tc>
        <w:tc>
          <w:tcPr>
            <w:tcW w:w="641" w:type="pct"/>
            <w:tcBorders>
              <w:top w:val="nil"/>
              <w:left w:val="nil"/>
              <w:bottom w:val="nil"/>
              <w:right w:val="nil"/>
            </w:tcBorders>
            <w:shd w:val="clear" w:color="auto" w:fill="auto"/>
            <w:noWrap/>
            <w:hideMark/>
          </w:tcPr>
          <w:p w:rsidR="00683505" w:rsidRPr="00EB3701" w:rsidRDefault="00683505" w:rsidP="005A2454">
            <w:pPr>
              <w:jc w:val="right"/>
              <w:rPr>
                <w:rFonts w:ascii="Verdana" w:hAnsi="Verdana"/>
                <w:color w:val="000000"/>
                <w:sz w:val="17"/>
                <w:szCs w:val="17"/>
                <w:lang w:val="nl-NL"/>
              </w:rPr>
            </w:pPr>
            <w:r w:rsidRPr="00EB3701">
              <w:rPr>
                <w:rFonts w:ascii="Verdana" w:hAnsi="Verdana"/>
                <w:color w:val="000000"/>
                <w:sz w:val="17"/>
                <w:szCs w:val="17"/>
                <w:lang w:val="nl-NL"/>
              </w:rPr>
              <w:t>60</w:t>
            </w:r>
          </w:p>
        </w:tc>
      </w:tr>
      <w:tr w:rsidR="00683505" w:rsidRPr="00EB3701" w:rsidTr="005A2454">
        <w:trPr>
          <w:trHeight w:val="210"/>
        </w:trPr>
        <w:tc>
          <w:tcPr>
            <w:tcW w:w="2207" w:type="pct"/>
            <w:gridSpan w:val="3"/>
            <w:tcBorders>
              <w:top w:val="single" w:sz="4" w:space="0" w:color="auto"/>
              <w:left w:val="nil"/>
              <w:bottom w:val="single" w:sz="4" w:space="0" w:color="auto"/>
              <w:right w:val="nil"/>
            </w:tcBorders>
            <w:shd w:val="clear" w:color="auto" w:fill="auto"/>
            <w:noWrap/>
            <w:vAlign w:val="center"/>
            <w:hideMark/>
          </w:tcPr>
          <w:p w:rsidR="00683505" w:rsidRPr="00EB3701" w:rsidRDefault="00683505" w:rsidP="005A2454">
            <w:pPr>
              <w:rPr>
                <w:rFonts w:ascii="Verdana" w:hAnsi="Verdana"/>
                <w:b/>
                <w:bCs/>
                <w:color w:val="000000"/>
                <w:sz w:val="16"/>
                <w:szCs w:val="16"/>
                <w:lang w:val="nl-NL"/>
              </w:rPr>
            </w:pPr>
            <w:r w:rsidRPr="00EB3701">
              <w:rPr>
                <w:rFonts w:ascii="Verdana" w:hAnsi="Verdana"/>
                <w:b/>
                <w:bCs/>
                <w:color w:val="000000"/>
                <w:sz w:val="16"/>
                <w:szCs w:val="16"/>
                <w:lang w:val="nl-NL"/>
              </w:rPr>
              <w:t>Ontvangsten</w:t>
            </w:r>
          </w:p>
        </w:tc>
        <w:tc>
          <w:tcPr>
            <w:tcW w:w="869" w:type="pct"/>
            <w:tcBorders>
              <w:top w:val="single" w:sz="4" w:space="0" w:color="auto"/>
              <w:left w:val="nil"/>
              <w:bottom w:val="single" w:sz="4" w:space="0" w:color="auto"/>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780</w:t>
            </w:r>
          </w:p>
        </w:tc>
        <w:tc>
          <w:tcPr>
            <w:tcW w:w="641" w:type="pct"/>
            <w:tcBorders>
              <w:top w:val="single" w:sz="4" w:space="0" w:color="auto"/>
              <w:left w:val="nil"/>
              <w:bottom w:val="single" w:sz="4" w:space="0" w:color="auto"/>
              <w:right w:val="nil"/>
            </w:tcBorders>
            <w:shd w:val="clear" w:color="auto" w:fill="auto"/>
            <w:noWrap/>
            <w:hideMark/>
          </w:tcPr>
          <w:p w:rsidR="00683505" w:rsidRPr="00EB3701" w:rsidRDefault="00683505" w:rsidP="005A2454">
            <w:pPr>
              <w:jc w:val="right"/>
              <w:rPr>
                <w:rFonts w:ascii="Verdana" w:hAnsi="Verdana"/>
                <w:b/>
                <w:bCs/>
                <w:color w:val="000000"/>
                <w:sz w:val="16"/>
                <w:szCs w:val="16"/>
                <w:lang w:val="nl-NL"/>
              </w:rPr>
            </w:pPr>
            <w:r w:rsidRPr="00EB3701">
              <w:rPr>
                <w:rFonts w:ascii="Verdana" w:hAnsi="Verdana"/>
                <w:b/>
                <w:bCs/>
                <w:color w:val="000000"/>
                <w:sz w:val="16"/>
                <w:szCs w:val="16"/>
                <w:lang w:val="nl-NL"/>
              </w:rPr>
              <w:t>2.687</w:t>
            </w:r>
          </w:p>
        </w:tc>
        <w:tc>
          <w:tcPr>
            <w:tcW w:w="641" w:type="pct"/>
            <w:tcBorders>
              <w:top w:val="single" w:sz="4" w:space="0" w:color="auto"/>
              <w:left w:val="nil"/>
              <w:bottom w:val="single" w:sz="4" w:space="0" w:color="auto"/>
              <w:right w:val="nil"/>
            </w:tcBorders>
            <w:shd w:val="clear" w:color="auto" w:fill="auto"/>
            <w:noWrap/>
            <w:hideMark/>
          </w:tcPr>
          <w:p w:rsidR="00683505" w:rsidRPr="00EB3701" w:rsidRDefault="00683505" w:rsidP="005A2454">
            <w:pPr>
              <w:jc w:val="right"/>
              <w:rPr>
                <w:rFonts w:ascii="Verdana" w:hAnsi="Verdana"/>
                <w:b/>
                <w:bCs/>
                <w:sz w:val="17"/>
                <w:szCs w:val="17"/>
                <w:lang w:val="nl-NL"/>
              </w:rPr>
            </w:pPr>
            <w:r w:rsidRPr="00EB3701">
              <w:rPr>
                <w:rFonts w:ascii="Verdana" w:hAnsi="Verdana"/>
                <w:b/>
                <w:bCs/>
                <w:sz w:val="17"/>
                <w:szCs w:val="17"/>
                <w:lang w:val="nl-NL"/>
              </w:rPr>
              <w:t>30.000</w:t>
            </w:r>
          </w:p>
        </w:tc>
        <w:tc>
          <w:tcPr>
            <w:tcW w:w="641" w:type="pct"/>
            <w:tcBorders>
              <w:top w:val="single" w:sz="4" w:space="0" w:color="auto"/>
              <w:left w:val="nil"/>
              <w:bottom w:val="single" w:sz="4" w:space="0" w:color="auto"/>
              <w:right w:val="nil"/>
            </w:tcBorders>
            <w:shd w:val="clear" w:color="auto" w:fill="auto"/>
            <w:noWrap/>
            <w:hideMark/>
          </w:tcPr>
          <w:p w:rsidR="00683505" w:rsidRPr="00EB3701" w:rsidRDefault="00683505" w:rsidP="005A2454">
            <w:pPr>
              <w:jc w:val="right"/>
              <w:rPr>
                <w:rFonts w:ascii="Verdana" w:hAnsi="Verdana"/>
                <w:b/>
                <w:bCs/>
                <w:color w:val="000000"/>
                <w:sz w:val="17"/>
                <w:szCs w:val="17"/>
                <w:lang w:val="nl-NL"/>
              </w:rPr>
            </w:pPr>
            <w:r w:rsidRPr="00EB3701">
              <w:rPr>
                <w:rFonts w:ascii="Verdana" w:hAnsi="Verdana"/>
                <w:b/>
                <w:bCs/>
                <w:color w:val="000000"/>
                <w:sz w:val="17"/>
                <w:szCs w:val="17"/>
                <w:lang w:val="nl-NL"/>
              </w:rPr>
              <w:t>32.687</w:t>
            </w:r>
          </w:p>
        </w:tc>
      </w:tr>
    </w:tbl>
    <w:p w:rsidR="00683505" w:rsidRPr="003F6DF8" w:rsidRDefault="00683505" w:rsidP="00683505">
      <w:pPr>
        <w:spacing w:line="360" w:lineRule="auto"/>
        <w:rPr>
          <w:rFonts w:ascii="Verdana" w:hAnsi="Verdana" w:cs="Arial"/>
          <w:sz w:val="20"/>
          <w:szCs w:val="20"/>
          <w:lang w:val="nl-NL"/>
        </w:rPr>
      </w:pPr>
    </w:p>
    <w:p w:rsidR="009E7070" w:rsidRDefault="009E7070">
      <w:bookmarkStart w:id="0" w:name="_GoBack"/>
      <w:bookmarkEnd w:id="0"/>
    </w:p>
    <w:sectPr w:rsidR="009E7070" w:rsidSect="00D51617">
      <w:pgSz w:w="11906" w:h="16838" w:code="9"/>
      <w:pgMar w:top="1418"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05"/>
    <w:rsid w:val="00485333"/>
    <w:rsid w:val="004F79F1"/>
    <w:rsid w:val="00683505"/>
    <w:rsid w:val="009E7070"/>
    <w:rsid w:val="00A54391"/>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83505"/>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83505"/>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3B526689ED1D428EE549FFFBFAEB19" ma:contentTypeVersion="0" ma:contentTypeDescription="Een nieuw document maken." ma:contentTypeScope="" ma:versionID="cba0ce73deac0255046b3c3cb5de38d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38773-D3DB-4082-8498-D67DFC23F036}"/>
</file>

<file path=customXml/itemProps2.xml><?xml version="1.0" encoding="utf-8"?>
<ds:datastoreItem xmlns:ds="http://schemas.openxmlformats.org/officeDocument/2006/customXml" ds:itemID="{801D4524-5CFB-4231-8654-1BB113A01CDE}"/>
</file>

<file path=customXml/itemProps3.xml><?xml version="1.0" encoding="utf-8"?>
<ds:datastoreItem xmlns:ds="http://schemas.openxmlformats.org/officeDocument/2006/customXml" ds:itemID="{7DBBA605-EE72-4D3B-B169-0FCAC03D2E1C}"/>
</file>

<file path=docProps/app.xml><?xml version="1.0" encoding="utf-8"?>
<Properties xmlns="http://schemas.openxmlformats.org/officeDocument/2006/extended-properties" xmlns:vt="http://schemas.openxmlformats.org/officeDocument/2006/docPropsVTypes">
  <Template>64BD5013.dotm</Template>
  <TotalTime>0</TotalTime>
  <Pages>4</Pages>
  <Words>516</Words>
  <Characters>3306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2015-09-22T13:34:00Z</dcterms:created>
  <dcterms:modified xsi:type="dcterms:W3CDTF">2015-09-22T13:34:00Z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0x010100883B526689ED1D428EE549FFFBFAEB19</vt:lpwstr>
  </property>
</Properties>
</file>